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97" w:rsidRDefault="005B3397" w:rsidP="005B3397"/>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5B3397" w:rsidTr="005B3397">
        <w:trPr>
          <w:tblCellSpacing w:w="0" w:type="dxa"/>
          <w:jc w:val="center"/>
        </w:trPr>
        <w:tc>
          <w:tcPr>
            <w:tcW w:w="4300" w:type="pct"/>
            <w:vAlign w:val="center"/>
            <w:hideMark/>
          </w:tcPr>
          <w:p w:rsidR="005B3397" w:rsidRDefault="005B3397">
            <w:pPr>
              <w:pStyle w:val="NormalWeb"/>
              <w:jc w:val="center"/>
            </w:pPr>
            <w:r>
              <w:rPr>
                <w:rStyle w:val="Forte"/>
                <w:rFonts w:ascii="Arial" w:hAnsi="Arial" w:cs="Arial"/>
                <w:color w:val="808000"/>
                <w:sz w:val="36"/>
                <w:szCs w:val="36"/>
              </w:rPr>
              <w:t>Presidência da República</w:t>
            </w:r>
            <w:r>
              <w:rPr>
                <w:rFonts w:ascii="Arial" w:hAnsi="Arial" w:cs="Arial"/>
                <w:b/>
                <w:bCs/>
                <w:color w:val="808000"/>
              </w:rPr>
              <w:br/>
            </w:r>
            <w:r>
              <w:rPr>
                <w:rStyle w:val="Forte"/>
                <w:rFonts w:ascii="Arial" w:hAnsi="Arial" w:cs="Arial"/>
                <w:color w:val="808000"/>
                <w:sz w:val="27"/>
                <w:szCs w:val="27"/>
              </w:rPr>
              <w:t>Casa Civil</w:t>
            </w:r>
            <w:r>
              <w:rPr>
                <w:rFonts w:ascii="Arial" w:hAnsi="Arial" w:cs="Arial"/>
                <w:b/>
                <w:bCs/>
                <w:color w:val="808000"/>
                <w:sz w:val="27"/>
                <w:szCs w:val="27"/>
              </w:rPr>
              <w:br/>
            </w:r>
            <w:r>
              <w:rPr>
                <w:rStyle w:val="Forte"/>
                <w:rFonts w:ascii="Arial" w:hAnsi="Arial" w:cs="Arial"/>
                <w:color w:val="808000"/>
              </w:rPr>
              <w:t>Subchefia para Assuntos Jurídicos</w:t>
            </w:r>
          </w:p>
        </w:tc>
      </w:tr>
    </w:tbl>
    <w:p w:rsidR="005B3397" w:rsidRDefault="005B3397" w:rsidP="005B3397">
      <w:pPr>
        <w:pStyle w:val="NormalWeb"/>
        <w:jc w:val="center"/>
        <w:rPr>
          <w:color w:val="000000"/>
          <w:sz w:val="27"/>
          <w:szCs w:val="27"/>
        </w:rPr>
      </w:pPr>
      <w:r>
        <w:rPr>
          <w:rStyle w:val="Forte"/>
          <w:rFonts w:ascii="Arial" w:hAnsi="Arial" w:cs="Arial"/>
          <w:color w:val="000080"/>
        </w:rPr>
        <w:t xml:space="preserve">MENSAGEM Nº 282, DE </w:t>
      </w:r>
      <w:proofErr w:type="gramStart"/>
      <w:r>
        <w:rPr>
          <w:rStyle w:val="Forte"/>
          <w:rFonts w:ascii="Arial" w:hAnsi="Arial" w:cs="Arial"/>
          <w:color w:val="000080"/>
        </w:rPr>
        <w:t>9</w:t>
      </w:r>
      <w:proofErr w:type="gramEnd"/>
      <w:r>
        <w:rPr>
          <w:rStyle w:val="Forte"/>
          <w:rFonts w:ascii="Arial" w:hAnsi="Arial" w:cs="Arial"/>
          <w:color w:val="000080"/>
        </w:rPr>
        <w:t xml:space="preserve"> DE JULHO DE 2013.</w:t>
      </w:r>
      <w:r>
        <w:rPr>
          <w:color w:val="000000"/>
          <w:sz w:val="27"/>
          <w:szCs w:val="27"/>
        </w:rPr>
        <w:t>  </w:t>
      </w:r>
    </w:p>
    <w:p w:rsidR="005B3397" w:rsidRDefault="005B3397" w:rsidP="005B3397">
      <w:pPr>
        <w:spacing w:before="300" w:after="300"/>
        <w:ind w:firstLine="570"/>
        <w:jc w:val="both"/>
        <w:rPr>
          <w:color w:val="000000"/>
          <w:sz w:val="27"/>
          <w:szCs w:val="27"/>
        </w:rPr>
      </w:pPr>
      <w:r>
        <w:rPr>
          <w:rFonts w:ascii="Arial" w:hAnsi="Arial" w:cs="Arial"/>
          <w:color w:val="000000"/>
          <w:sz w:val="20"/>
          <w:szCs w:val="20"/>
        </w:rPr>
        <w:t>Senhor Presidente do Senado Federal,</w:t>
      </w:r>
    </w:p>
    <w:p w:rsidR="005B3397" w:rsidRDefault="005B3397" w:rsidP="005B3397">
      <w:pPr>
        <w:spacing w:before="300" w:after="300"/>
        <w:ind w:firstLine="570"/>
        <w:jc w:val="both"/>
        <w:rPr>
          <w:color w:val="000000"/>
          <w:sz w:val="27"/>
          <w:szCs w:val="27"/>
        </w:rPr>
      </w:pPr>
      <w:r>
        <w:rPr>
          <w:rFonts w:ascii="Arial" w:hAnsi="Arial" w:cs="Arial"/>
          <w:color w:val="000000"/>
          <w:sz w:val="20"/>
          <w:szCs w:val="20"/>
        </w:rPr>
        <w:t> Comunico a Vossa Excelência que, nos termos do § 1</w:t>
      </w:r>
      <w:r>
        <w:rPr>
          <w:rFonts w:ascii="Arial" w:hAnsi="Arial" w:cs="Arial"/>
          <w:color w:val="000000"/>
          <w:sz w:val="20"/>
          <w:szCs w:val="20"/>
          <w:u w:val="single"/>
          <w:vertAlign w:val="superscript"/>
        </w:rPr>
        <w:t>o</w:t>
      </w:r>
      <w:r>
        <w:rPr>
          <w:rStyle w:val="apple-converted-space"/>
          <w:rFonts w:ascii="Arial" w:hAnsi="Arial" w:cs="Arial"/>
          <w:color w:val="000000"/>
          <w:sz w:val="20"/>
          <w:szCs w:val="20"/>
        </w:rPr>
        <w:t> </w:t>
      </w:r>
      <w:r>
        <w:rPr>
          <w:rFonts w:ascii="Arial" w:hAnsi="Arial" w:cs="Arial"/>
          <w:color w:val="000000"/>
          <w:sz w:val="20"/>
          <w:szCs w:val="20"/>
        </w:rPr>
        <w:t xml:space="preserve">do art. 66 da Constituição, decidi vetar parcialmente, por contrariedade ao interesse público, o Projeto de Lei de Conversão </w:t>
      </w:r>
      <w:proofErr w:type="gramStart"/>
      <w:r>
        <w:rPr>
          <w:rFonts w:ascii="Arial" w:hAnsi="Arial" w:cs="Arial"/>
          <w:color w:val="000000"/>
          <w:sz w:val="20"/>
          <w:szCs w:val="20"/>
        </w:rPr>
        <w:t>n</w:t>
      </w:r>
      <w:r>
        <w:rPr>
          <w:rFonts w:ascii="Arial" w:hAnsi="Arial" w:cs="Arial"/>
          <w:color w:val="000000"/>
          <w:sz w:val="20"/>
          <w:szCs w:val="20"/>
          <w:u w:val="single"/>
          <w:vertAlign w:val="superscript"/>
        </w:rPr>
        <w:t>o</w:t>
      </w:r>
      <w:r>
        <w:rPr>
          <w:rStyle w:val="apple-converted-space"/>
          <w:rFonts w:ascii="Arial" w:hAnsi="Arial" w:cs="Arial"/>
          <w:color w:val="000000"/>
          <w:sz w:val="20"/>
          <w:szCs w:val="20"/>
        </w:rPr>
        <w:t> </w:t>
      </w:r>
      <w:r>
        <w:rPr>
          <w:rFonts w:ascii="Arial" w:hAnsi="Arial" w:cs="Arial"/>
          <w:color w:val="000000"/>
          <w:sz w:val="20"/>
          <w:szCs w:val="20"/>
        </w:rPr>
        <w:t>15</w:t>
      </w:r>
      <w:proofErr w:type="gramEnd"/>
      <w:r>
        <w:rPr>
          <w:rFonts w:ascii="Arial" w:hAnsi="Arial" w:cs="Arial"/>
          <w:color w:val="000000"/>
          <w:sz w:val="20"/>
          <w:szCs w:val="20"/>
        </w:rPr>
        <w:t>, de 2013 (MP n</w:t>
      </w:r>
      <w:r>
        <w:rPr>
          <w:rFonts w:ascii="Arial" w:hAnsi="Arial" w:cs="Arial"/>
          <w:color w:val="000000"/>
          <w:sz w:val="20"/>
          <w:szCs w:val="20"/>
          <w:u w:val="single"/>
          <w:vertAlign w:val="superscript"/>
        </w:rPr>
        <w:t>o</w:t>
      </w:r>
      <w:r>
        <w:rPr>
          <w:rStyle w:val="apple-converted-space"/>
          <w:rFonts w:ascii="Arial" w:hAnsi="Arial" w:cs="Arial"/>
          <w:color w:val="000000"/>
          <w:sz w:val="20"/>
          <w:szCs w:val="20"/>
        </w:rPr>
        <w:t> </w:t>
      </w:r>
      <w:r>
        <w:rPr>
          <w:rFonts w:ascii="Arial" w:hAnsi="Arial" w:cs="Arial"/>
          <w:color w:val="000000"/>
          <w:sz w:val="20"/>
          <w:szCs w:val="20"/>
        </w:rPr>
        <w:t xml:space="preserve">609/13), que “Reduz a zero as alíquotas da Contribuição para o PIS/Pasep, da </w:t>
      </w:r>
      <w:proofErr w:type="spellStart"/>
      <w:r>
        <w:rPr>
          <w:rFonts w:ascii="Arial" w:hAnsi="Arial" w:cs="Arial"/>
          <w:color w:val="000000"/>
          <w:sz w:val="20"/>
          <w:szCs w:val="20"/>
        </w:rPr>
        <w:t>Cofins</w:t>
      </w:r>
      <w:proofErr w:type="spellEnd"/>
      <w:r>
        <w:rPr>
          <w:rFonts w:ascii="Arial" w:hAnsi="Arial" w:cs="Arial"/>
          <w:color w:val="000000"/>
          <w:sz w:val="20"/>
          <w:szCs w:val="20"/>
        </w:rPr>
        <w:t xml:space="preserve">, da Contribuição para o PIS/Pasep-Importação e da </w:t>
      </w:r>
      <w:proofErr w:type="spellStart"/>
      <w:r>
        <w:rPr>
          <w:rFonts w:ascii="Arial" w:hAnsi="Arial" w:cs="Arial"/>
          <w:color w:val="000000"/>
          <w:sz w:val="20"/>
          <w:szCs w:val="20"/>
        </w:rPr>
        <w:t>Cofins</w:t>
      </w:r>
      <w:proofErr w:type="spellEnd"/>
      <w:r>
        <w:rPr>
          <w:rFonts w:ascii="Arial" w:hAnsi="Arial" w:cs="Arial"/>
          <w:color w:val="000000"/>
          <w:sz w:val="20"/>
          <w:szCs w:val="20"/>
        </w:rPr>
        <w:t>-Importação incidentes sobre a receita decorrente da venda no mercado interno e sobre a importação de produtos que compõem a cesta básica; altera as Leis n</w:t>
      </w:r>
      <w:r>
        <w:rPr>
          <w:rFonts w:ascii="Arial" w:hAnsi="Arial" w:cs="Arial"/>
          <w:color w:val="000000"/>
          <w:sz w:val="20"/>
          <w:szCs w:val="20"/>
          <w:u w:val="single"/>
          <w:vertAlign w:val="superscript"/>
        </w:rPr>
        <w:t>os</w:t>
      </w:r>
      <w:r>
        <w:rPr>
          <w:rStyle w:val="apple-converted-space"/>
          <w:rFonts w:ascii="Arial" w:hAnsi="Arial" w:cs="Arial"/>
          <w:color w:val="000000"/>
          <w:sz w:val="20"/>
          <w:szCs w:val="20"/>
        </w:rPr>
        <w:t> </w:t>
      </w:r>
      <w:r>
        <w:rPr>
          <w:rFonts w:ascii="Arial" w:hAnsi="Arial" w:cs="Arial"/>
          <w:color w:val="000000"/>
          <w:sz w:val="20"/>
          <w:szCs w:val="20"/>
        </w:rPr>
        <w:t>10.925, de 23 de julho de 2004, 10.147, de 21 de dezembro de 2000, 10.865, de 30 de abril de 2004, 12.058, de 13 de outubro de 2009, 12.350, de 20 de dezembro de 2010, 12.599, de 23 de março de 2012, 10.485, de 3 de julho de 2002, 10.438, de 26 de abril de 2002, 10.848, de 15 de março de 2004, 12.783, de 11 de janeiro de 2013, 9.074, de 7 de julho de 1995, e 9.427, de 26 de dezembro de 1996; revoga dispositivo da Lei n</w:t>
      </w:r>
      <w:r>
        <w:rPr>
          <w:rFonts w:ascii="Arial" w:hAnsi="Arial" w:cs="Arial"/>
          <w:color w:val="000000"/>
          <w:sz w:val="20"/>
          <w:szCs w:val="20"/>
          <w:u w:val="single"/>
          <w:vertAlign w:val="superscript"/>
        </w:rPr>
        <w:t>o</w:t>
      </w:r>
      <w:r>
        <w:rPr>
          <w:rStyle w:val="apple-converted-space"/>
          <w:rFonts w:ascii="Arial" w:hAnsi="Arial" w:cs="Arial"/>
          <w:color w:val="000000"/>
          <w:sz w:val="20"/>
          <w:szCs w:val="20"/>
        </w:rPr>
        <w:t> </w:t>
      </w:r>
      <w:r>
        <w:rPr>
          <w:rFonts w:ascii="Arial" w:hAnsi="Arial" w:cs="Arial"/>
          <w:color w:val="000000"/>
          <w:sz w:val="20"/>
          <w:szCs w:val="20"/>
        </w:rPr>
        <w:t>12.767, de 27 de dezembro de 2012; e dá outras providências”.</w:t>
      </w:r>
    </w:p>
    <w:p w:rsidR="005B3397" w:rsidRDefault="005B3397" w:rsidP="005B3397">
      <w:pPr>
        <w:spacing w:before="300" w:after="300"/>
        <w:ind w:firstLine="570"/>
        <w:jc w:val="both"/>
        <w:rPr>
          <w:color w:val="000000"/>
          <w:sz w:val="27"/>
          <w:szCs w:val="27"/>
        </w:rPr>
      </w:pPr>
      <w:r>
        <w:rPr>
          <w:rFonts w:ascii="Arial" w:hAnsi="Arial" w:cs="Arial"/>
          <w:color w:val="000000"/>
          <w:sz w:val="20"/>
          <w:szCs w:val="20"/>
        </w:rPr>
        <w:t> Ouvidos, os Ministérios da Fazenda e do Planejamento, Orçamento e Gestão manifestaram-se pelo veto aos seguintes dispositivos:</w:t>
      </w:r>
    </w:p>
    <w:p w:rsidR="005B3397" w:rsidRDefault="005B3397" w:rsidP="005B3397">
      <w:pPr>
        <w:spacing w:before="300" w:after="300"/>
        <w:ind w:firstLine="570"/>
        <w:jc w:val="both"/>
        <w:rPr>
          <w:color w:val="000000"/>
          <w:sz w:val="27"/>
          <w:szCs w:val="27"/>
        </w:rPr>
      </w:pPr>
      <w:r>
        <w:rPr>
          <w:rFonts w:ascii="Arial" w:hAnsi="Arial" w:cs="Arial"/>
          <w:color w:val="000000"/>
          <w:sz w:val="20"/>
          <w:szCs w:val="20"/>
        </w:rPr>
        <w:t> </w:t>
      </w:r>
      <w:r>
        <w:rPr>
          <w:rFonts w:ascii="Arial" w:hAnsi="Arial" w:cs="Arial"/>
          <w:b/>
          <w:bCs/>
          <w:color w:val="000000"/>
          <w:sz w:val="20"/>
          <w:szCs w:val="20"/>
          <w:u w:val="single"/>
        </w:rPr>
        <w:t>Alínea “d” do inciso XIX, alínea “c” do inciso XX, incisos de XXIX a XLII, os §§ 5º a 7º, da Lei n</w:t>
      </w:r>
      <w:r>
        <w:rPr>
          <w:rFonts w:ascii="Arial" w:hAnsi="Arial" w:cs="Arial"/>
          <w:b/>
          <w:bCs/>
          <w:color w:val="000000"/>
          <w:sz w:val="20"/>
          <w:szCs w:val="20"/>
          <w:u w:val="single"/>
          <w:vertAlign w:val="superscript"/>
        </w:rPr>
        <w:t>o</w:t>
      </w:r>
      <w:r>
        <w:rPr>
          <w:rStyle w:val="apple-converted-space"/>
          <w:rFonts w:ascii="Arial" w:hAnsi="Arial" w:cs="Arial"/>
          <w:b/>
          <w:bCs/>
          <w:color w:val="000000"/>
          <w:sz w:val="20"/>
          <w:szCs w:val="20"/>
          <w:u w:val="single"/>
        </w:rPr>
        <w:t> </w:t>
      </w:r>
      <w:r>
        <w:rPr>
          <w:rFonts w:ascii="Arial" w:hAnsi="Arial" w:cs="Arial"/>
          <w:b/>
          <w:bCs/>
          <w:color w:val="000000"/>
          <w:sz w:val="20"/>
          <w:szCs w:val="20"/>
          <w:u w:val="single"/>
        </w:rPr>
        <w:t xml:space="preserve">10.925, de 23 de julho de 2004, alterados pelo art. 1º do projeto de lei de </w:t>
      </w:r>
      <w:proofErr w:type="gramStart"/>
      <w:r>
        <w:rPr>
          <w:rFonts w:ascii="Arial" w:hAnsi="Arial" w:cs="Arial"/>
          <w:b/>
          <w:bCs/>
          <w:color w:val="000000"/>
          <w:sz w:val="20"/>
          <w:szCs w:val="20"/>
          <w:u w:val="single"/>
        </w:rPr>
        <w:t>conversão</w:t>
      </w:r>
      <w:proofErr w:type="gramEnd"/>
    </w:p>
    <w:p w:rsidR="005B3397" w:rsidRDefault="005B3397" w:rsidP="005B3397">
      <w:pPr>
        <w:spacing w:before="300" w:after="300"/>
        <w:ind w:firstLine="570"/>
        <w:jc w:val="both"/>
        <w:rPr>
          <w:color w:val="000000"/>
          <w:sz w:val="27"/>
          <w:szCs w:val="27"/>
        </w:rPr>
      </w:pPr>
      <w:r>
        <w:rPr>
          <w:rFonts w:ascii="Arial" w:hAnsi="Arial" w:cs="Arial"/>
          <w:color w:val="000000"/>
          <w:sz w:val="20"/>
          <w:szCs w:val="20"/>
        </w:rPr>
        <w:t> “</w:t>
      </w:r>
      <w:proofErr w:type="gramStart"/>
      <w:r>
        <w:rPr>
          <w:rFonts w:ascii="Arial" w:hAnsi="Arial" w:cs="Arial"/>
          <w:color w:val="000000"/>
          <w:sz w:val="20"/>
          <w:szCs w:val="20"/>
        </w:rPr>
        <w:t>d)</w:t>
      </w:r>
      <w:proofErr w:type="gramEnd"/>
      <w:r>
        <w:rPr>
          <w:rFonts w:ascii="Arial" w:hAnsi="Arial" w:cs="Arial"/>
          <w:color w:val="000000"/>
          <w:sz w:val="20"/>
          <w:szCs w:val="20"/>
        </w:rPr>
        <w:t xml:space="preserve"> carne de frango classificada no item 1602.32, mortadelas e linguiças derivadas da carne bovina, suína e de frango, e linguiças tipo calabresa, cozidas ou defumadas, classificadas no código 1601.00.00;”</w:t>
      </w:r>
    </w:p>
    <w:p w:rsidR="005B3397" w:rsidRDefault="005B3397" w:rsidP="005B3397">
      <w:pPr>
        <w:spacing w:before="300" w:after="300"/>
        <w:ind w:firstLine="570"/>
        <w:jc w:val="both"/>
        <w:rPr>
          <w:color w:val="000000"/>
          <w:sz w:val="27"/>
          <w:szCs w:val="27"/>
        </w:rPr>
      </w:pPr>
      <w:r>
        <w:rPr>
          <w:rFonts w:ascii="Arial" w:hAnsi="Arial" w:cs="Arial"/>
          <w:color w:val="000000"/>
          <w:sz w:val="20"/>
          <w:szCs w:val="20"/>
        </w:rPr>
        <w:t> “</w:t>
      </w:r>
      <w:proofErr w:type="gramStart"/>
      <w:r>
        <w:rPr>
          <w:rFonts w:ascii="Arial" w:hAnsi="Arial" w:cs="Arial"/>
          <w:color w:val="000000"/>
          <w:sz w:val="20"/>
          <w:szCs w:val="20"/>
        </w:rPr>
        <w:t>c)</w:t>
      </w:r>
      <w:proofErr w:type="gramEnd"/>
      <w:r>
        <w:rPr>
          <w:rFonts w:ascii="Arial" w:hAnsi="Arial" w:cs="Arial"/>
          <w:color w:val="000000"/>
          <w:sz w:val="20"/>
          <w:szCs w:val="20"/>
        </w:rPr>
        <w:t xml:space="preserve"> </w:t>
      </w:r>
      <w:proofErr w:type="spellStart"/>
      <w:r>
        <w:rPr>
          <w:rFonts w:ascii="Arial" w:hAnsi="Arial" w:cs="Arial"/>
          <w:color w:val="000000"/>
          <w:sz w:val="20"/>
          <w:szCs w:val="20"/>
        </w:rPr>
        <w:t>náuplios</w:t>
      </w:r>
      <w:proofErr w:type="spellEnd"/>
      <w:r>
        <w:rPr>
          <w:rFonts w:ascii="Arial" w:hAnsi="Arial" w:cs="Arial"/>
          <w:color w:val="000000"/>
          <w:sz w:val="20"/>
          <w:szCs w:val="20"/>
        </w:rPr>
        <w:t>, pós-larvas, camarão cultivado e ração para camarões classificados nos códigos 03.06, 1605.21.00 e 2309.90.10;”</w:t>
      </w:r>
    </w:p>
    <w:p w:rsidR="005B3397" w:rsidRDefault="005B3397" w:rsidP="005B3397">
      <w:pPr>
        <w:spacing w:before="300" w:after="300"/>
        <w:ind w:firstLine="570"/>
        <w:jc w:val="both"/>
        <w:rPr>
          <w:color w:val="000000"/>
          <w:sz w:val="27"/>
          <w:szCs w:val="27"/>
        </w:rPr>
      </w:pPr>
      <w:r>
        <w:rPr>
          <w:rFonts w:ascii="Arial" w:hAnsi="Arial" w:cs="Arial"/>
          <w:color w:val="000000"/>
          <w:sz w:val="20"/>
          <w:szCs w:val="20"/>
        </w:rPr>
        <w:t xml:space="preserve"> “XXIX - pão de forma classificado no código 1905.90.10 </w:t>
      </w:r>
      <w:proofErr w:type="gramStart"/>
      <w:r>
        <w:rPr>
          <w:rFonts w:ascii="Arial" w:hAnsi="Arial" w:cs="Arial"/>
          <w:color w:val="000000"/>
          <w:sz w:val="20"/>
          <w:szCs w:val="20"/>
        </w:rPr>
        <w:t>da Tipi</w:t>
      </w:r>
      <w:proofErr w:type="gramEnd"/>
      <w:r>
        <w:rPr>
          <w:rFonts w:ascii="Arial" w:hAnsi="Arial" w:cs="Arial"/>
          <w:color w:val="000000"/>
          <w:sz w:val="20"/>
          <w:szCs w:val="20"/>
        </w:rPr>
        <w:t>;</w:t>
      </w:r>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XXX - biscoitos dos tipos</w:t>
      </w:r>
      <w:r>
        <w:rPr>
          <w:rStyle w:val="apple-converted-space"/>
          <w:rFonts w:ascii="Arial" w:hAnsi="Arial" w:cs="Arial"/>
          <w:color w:val="000000"/>
          <w:sz w:val="20"/>
          <w:szCs w:val="20"/>
        </w:rPr>
        <w:t> </w:t>
      </w:r>
      <w:r>
        <w:rPr>
          <w:rFonts w:ascii="Arial" w:hAnsi="Arial" w:cs="Arial"/>
          <w:color w:val="000000"/>
          <w:sz w:val="20"/>
          <w:szCs w:val="20"/>
        </w:rPr>
        <w:t xml:space="preserve">cream cracker, água e sal, </w:t>
      </w:r>
      <w:proofErr w:type="spellStart"/>
      <w:proofErr w:type="gramStart"/>
      <w:r>
        <w:rPr>
          <w:rFonts w:ascii="Arial" w:hAnsi="Arial" w:cs="Arial"/>
          <w:color w:val="000000"/>
          <w:sz w:val="20"/>
          <w:szCs w:val="20"/>
        </w:rPr>
        <w:t>maria</w:t>
      </w:r>
      <w:proofErr w:type="spellEnd"/>
      <w:proofErr w:type="gramEnd"/>
      <w:r>
        <w:rPr>
          <w:rFonts w:ascii="Arial" w:hAnsi="Arial" w:cs="Arial"/>
          <w:color w:val="000000"/>
          <w:sz w:val="20"/>
          <w:szCs w:val="20"/>
        </w:rPr>
        <w:t>, maisena e rosquinhas de leite e coco classificados no código 1905.31.00 da Tipi;</w:t>
      </w:r>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xml:space="preserve"> XXXI - sucos classificados no código 20.09 </w:t>
      </w:r>
      <w:proofErr w:type="gramStart"/>
      <w:r>
        <w:rPr>
          <w:rFonts w:ascii="Arial" w:hAnsi="Arial" w:cs="Arial"/>
          <w:color w:val="000000"/>
          <w:sz w:val="20"/>
          <w:szCs w:val="20"/>
        </w:rPr>
        <w:t>da Tipi</w:t>
      </w:r>
      <w:proofErr w:type="gramEnd"/>
      <w:r>
        <w:rPr>
          <w:rFonts w:ascii="Arial" w:hAnsi="Arial" w:cs="Arial"/>
          <w:color w:val="000000"/>
          <w:sz w:val="20"/>
          <w:szCs w:val="20"/>
        </w:rPr>
        <w:t>;</w:t>
      </w:r>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xml:space="preserve"> XXXII - erva-mate classificada no código 0903.00 </w:t>
      </w:r>
      <w:proofErr w:type="gramStart"/>
      <w:r>
        <w:rPr>
          <w:rFonts w:ascii="Arial" w:hAnsi="Arial" w:cs="Arial"/>
          <w:color w:val="000000"/>
          <w:sz w:val="20"/>
          <w:szCs w:val="20"/>
        </w:rPr>
        <w:t>da Tipi</w:t>
      </w:r>
      <w:proofErr w:type="gramEnd"/>
      <w:r>
        <w:rPr>
          <w:rFonts w:ascii="Arial" w:hAnsi="Arial" w:cs="Arial"/>
          <w:color w:val="000000"/>
          <w:sz w:val="20"/>
          <w:szCs w:val="20"/>
        </w:rPr>
        <w:t>;</w:t>
      </w:r>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xml:space="preserve"> XXXIII - molho de tomate e vinagres classificados nos códigos 2103.20.10 e 2209.00.00 </w:t>
      </w:r>
      <w:proofErr w:type="gramStart"/>
      <w:r>
        <w:rPr>
          <w:rFonts w:ascii="Arial" w:hAnsi="Arial" w:cs="Arial"/>
          <w:color w:val="000000"/>
          <w:sz w:val="20"/>
          <w:szCs w:val="20"/>
        </w:rPr>
        <w:t>da Tipi</w:t>
      </w:r>
      <w:proofErr w:type="gramEnd"/>
      <w:r>
        <w:rPr>
          <w:rFonts w:ascii="Arial" w:hAnsi="Arial" w:cs="Arial"/>
          <w:color w:val="000000"/>
          <w:sz w:val="20"/>
          <w:szCs w:val="20"/>
        </w:rPr>
        <w:t>;</w:t>
      </w:r>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xml:space="preserve"> XXXIV - polvilho doce e azedo classificados respectivamente nas posições 1108.1400 e 3505.1000 </w:t>
      </w:r>
      <w:proofErr w:type="gramStart"/>
      <w:r>
        <w:rPr>
          <w:rFonts w:ascii="Arial" w:hAnsi="Arial" w:cs="Arial"/>
          <w:color w:val="000000"/>
          <w:sz w:val="20"/>
          <w:szCs w:val="20"/>
        </w:rPr>
        <w:t>da Tipi</w:t>
      </w:r>
      <w:proofErr w:type="gramEnd"/>
      <w:r>
        <w:rPr>
          <w:rFonts w:ascii="Arial" w:hAnsi="Arial" w:cs="Arial"/>
          <w:color w:val="000000"/>
          <w:sz w:val="20"/>
          <w:szCs w:val="20"/>
        </w:rPr>
        <w:t>;</w:t>
      </w:r>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xml:space="preserve"> XXXV - cola, artigos escolares confeccionados de plástico, borracha de apagar, pasta e mochila para estudante, agenda, caderno, classificador, pincel, caneta esferográfica, caneta e marcador com ponta de feltro e lápis classificados nos códigos 3506.10, 3926.10.00, </w:t>
      </w:r>
      <w:r>
        <w:rPr>
          <w:rFonts w:ascii="Arial" w:hAnsi="Arial" w:cs="Arial"/>
          <w:color w:val="000000"/>
          <w:sz w:val="20"/>
          <w:szCs w:val="20"/>
        </w:rPr>
        <w:lastRenderedPageBreak/>
        <w:t xml:space="preserve">4016.92.00, 4202.1, 4820.10.00, 4820.20.00, 4820.30.00, 9603.30.00, 9608.10.00, 9608.20.00 e 9609.10.00 </w:t>
      </w:r>
      <w:proofErr w:type="gramStart"/>
      <w:r>
        <w:rPr>
          <w:rFonts w:ascii="Arial" w:hAnsi="Arial" w:cs="Arial"/>
          <w:color w:val="000000"/>
          <w:sz w:val="20"/>
          <w:szCs w:val="20"/>
        </w:rPr>
        <w:t>da Tipi</w:t>
      </w:r>
      <w:proofErr w:type="gramEnd"/>
      <w:r>
        <w:rPr>
          <w:rFonts w:ascii="Arial" w:hAnsi="Arial" w:cs="Arial"/>
          <w:color w:val="000000"/>
          <w:sz w:val="20"/>
          <w:szCs w:val="20"/>
        </w:rPr>
        <w:t>;</w:t>
      </w:r>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xml:space="preserve"> XXXVI - rações balanceadas, concentrados, suplementos minerais e ureia pecuária, bem como suas matérias-primas, exceto os classificados nas posições 23.09.10.00 e 23.09.90.30 </w:t>
      </w:r>
      <w:proofErr w:type="gramStart"/>
      <w:r>
        <w:rPr>
          <w:rFonts w:ascii="Arial" w:hAnsi="Arial" w:cs="Arial"/>
          <w:color w:val="000000"/>
          <w:sz w:val="20"/>
          <w:szCs w:val="20"/>
        </w:rPr>
        <w:t>da Tipi</w:t>
      </w:r>
      <w:proofErr w:type="gramEnd"/>
      <w:r>
        <w:rPr>
          <w:rFonts w:ascii="Arial" w:hAnsi="Arial" w:cs="Arial"/>
          <w:color w:val="000000"/>
          <w:sz w:val="20"/>
          <w:szCs w:val="20"/>
        </w:rPr>
        <w:t>, utilizados na alimentação dos animais classificados nas posições 01.02, 01.03, 01.04, 01.05 e 03.01 da Tipi;</w:t>
      </w:r>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xml:space="preserve"> XXXVII - água sanitária, sabão em barra e desinfetantes classificados, respectivamente, nas posições 2828.90.11, 3401.19.00 e 3808.94.19 </w:t>
      </w:r>
      <w:proofErr w:type="gramStart"/>
      <w:r>
        <w:rPr>
          <w:rFonts w:ascii="Arial" w:hAnsi="Arial" w:cs="Arial"/>
          <w:color w:val="000000"/>
          <w:sz w:val="20"/>
          <w:szCs w:val="20"/>
        </w:rPr>
        <w:t>da Tipi</w:t>
      </w:r>
      <w:proofErr w:type="gramEnd"/>
      <w:r>
        <w:rPr>
          <w:rFonts w:ascii="Arial" w:hAnsi="Arial" w:cs="Arial"/>
          <w:color w:val="000000"/>
          <w:sz w:val="20"/>
          <w:szCs w:val="20"/>
        </w:rPr>
        <w:t>;</w:t>
      </w:r>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xml:space="preserve"> XXXVIII - </w:t>
      </w:r>
      <w:proofErr w:type="gramStart"/>
      <w:r>
        <w:rPr>
          <w:rFonts w:ascii="Arial" w:hAnsi="Arial" w:cs="Arial"/>
          <w:color w:val="000000"/>
          <w:sz w:val="20"/>
          <w:szCs w:val="20"/>
        </w:rPr>
        <w:t>escovas de dentes</w:t>
      </w:r>
      <w:proofErr w:type="gramEnd"/>
      <w:r>
        <w:rPr>
          <w:rFonts w:ascii="Arial" w:hAnsi="Arial" w:cs="Arial"/>
          <w:color w:val="000000"/>
          <w:sz w:val="20"/>
          <w:szCs w:val="20"/>
        </w:rPr>
        <w:t>, incluindo as próprias para dentaduras, absorventes, tampões higiênicos e fraldas para bebês e geriátricas classificados nos códigos 9603.21.00 e 9619.0000 da Tipi;</w:t>
      </w:r>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xml:space="preserve"> XXXIX - cimentos classificados no código 2523.2, telhas onduladas e telhas de aço classificadas nos códigos 6807.90.00 e 7308.90.90 e blocos e tijolos para construção classificados no código 6810.11.00, todos </w:t>
      </w:r>
      <w:proofErr w:type="gramStart"/>
      <w:r>
        <w:rPr>
          <w:rFonts w:ascii="Arial" w:hAnsi="Arial" w:cs="Arial"/>
          <w:color w:val="000000"/>
          <w:sz w:val="20"/>
          <w:szCs w:val="20"/>
        </w:rPr>
        <w:t>da Tipi</w:t>
      </w:r>
      <w:proofErr w:type="gramEnd"/>
      <w:r>
        <w:rPr>
          <w:rFonts w:ascii="Arial" w:hAnsi="Arial" w:cs="Arial"/>
          <w:color w:val="000000"/>
          <w:sz w:val="20"/>
          <w:szCs w:val="20"/>
        </w:rPr>
        <w:t>;</w:t>
      </w:r>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XL - produtos destinados à composição de alimentos administrados por via enteral ou parenteral utilizados em tratamento domiciliar ou em hospitais, clínicas ou qualquer outra unidade de saúde para pessoa com deficiência ou patologia grave;</w:t>
      </w:r>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xml:space="preserve"> XLI - gás liquefeito de petróleo - GLP, classificado no código 2711.19.10 </w:t>
      </w:r>
      <w:proofErr w:type="gramStart"/>
      <w:r>
        <w:rPr>
          <w:rFonts w:ascii="Arial" w:hAnsi="Arial" w:cs="Arial"/>
          <w:color w:val="000000"/>
          <w:sz w:val="20"/>
          <w:szCs w:val="20"/>
        </w:rPr>
        <w:t>da Tipi</w:t>
      </w:r>
      <w:proofErr w:type="gramEnd"/>
      <w:r>
        <w:rPr>
          <w:rFonts w:ascii="Arial" w:hAnsi="Arial" w:cs="Arial"/>
          <w:color w:val="000000"/>
          <w:sz w:val="20"/>
          <w:szCs w:val="20"/>
        </w:rPr>
        <w:t>;</w:t>
      </w:r>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xml:space="preserve"> XLII - sal classificado na posição 2501.00.20 </w:t>
      </w:r>
      <w:proofErr w:type="gramStart"/>
      <w:r>
        <w:rPr>
          <w:rFonts w:ascii="Arial" w:hAnsi="Arial" w:cs="Arial"/>
          <w:color w:val="000000"/>
          <w:sz w:val="20"/>
          <w:szCs w:val="20"/>
        </w:rPr>
        <w:t>da Tipi</w:t>
      </w:r>
      <w:proofErr w:type="gramEnd"/>
      <w:r>
        <w:rPr>
          <w:rFonts w:ascii="Arial" w:hAnsi="Arial" w:cs="Arial"/>
          <w:color w:val="000000"/>
          <w:sz w:val="20"/>
          <w:szCs w:val="20"/>
        </w:rPr>
        <w:t>.”</w:t>
      </w:r>
    </w:p>
    <w:p w:rsidR="005B3397" w:rsidRDefault="005B3397" w:rsidP="005B3397">
      <w:pPr>
        <w:spacing w:before="300" w:after="300"/>
        <w:ind w:firstLine="570"/>
        <w:jc w:val="both"/>
        <w:rPr>
          <w:color w:val="000000"/>
          <w:sz w:val="27"/>
          <w:szCs w:val="27"/>
        </w:rPr>
      </w:pPr>
      <w:r>
        <w:rPr>
          <w:rFonts w:ascii="Arial" w:hAnsi="Arial" w:cs="Arial"/>
          <w:color w:val="000000"/>
          <w:sz w:val="20"/>
          <w:szCs w:val="20"/>
        </w:rPr>
        <w:t> “§ 5</w:t>
      </w:r>
      <w:r>
        <w:rPr>
          <w:rFonts w:ascii="Arial" w:hAnsi="Arial" w:cs="Arial"/>
          <w:color w:val="000000"/>
          <w:sz w:val="20"/>
          <w:szCs w:val="20"/>
          <w:u w:val="single"/>
          <w:vertAlign w:val="superscript"/>
        </w:rPr>
        <w:t>o</w:t>
      </w:r>
      <w:r>
        <w:rPr>
          <w:rFonts w:ascii="Arial" w:hAnsi="Arial" w:cs="Arial"/>
          <w:color w:val="000000"/>
          <w:sz w:val="20"/>
          <w:szCs w:val="20"/>
        </w:rPr>
        <w:t>  Fica suspensa a exigência da Contribuição para o PIS/</w:t>
      </w:r>
      <w:proofErr w:type="gramStart"/>
      <w:r>
        <w:rPr>
          <w:rFonts w:ascii="Arial" w:hAnsi="Arial" w:cs="Arial"/>
          <w:color w:val="000000"/>
          <w:sz w:val="20"/>
          <w:szCs w:val="20"/>
        </w:rPr>
        <w:t>Pasep</w:t>
      </w:r>
      <w:proofErr w:type="gramEnd"/>
      <w:r>
        <w:rPr>
          <w:rFonts w:ascii="Arial" w:hAnsi="Arial" w:cs="Arial"/>
          <w:color w:val="000000"/>
          <w:sz w:val="20"/>
          <w:szCs w:val="20"/>
        </w:rPr>
        <w:t xml:space="preserve"> e da </w:t>
      </w:r>
      <w:proofErr w:type="spellStart"/>
      <w:r>
        <w:rPr>
          <w:rFonts w:ascii="Arial" w:hAnsi="Arial" w:cs="Arial"/>
          <w:color w:val="000000"/>
          <w:sz w:val="20"/>
          <w:szCs w:val="20"/>
        </w:rPr>
        <w:t>Cofins</w:t>
      </w:r>
      <w:proofErr w:type="spellEnd"/>
      <w:r>
        <w:rPr>
          <w:rFonts w:ascii="Arial" w:hAnsi="Arial" w:cs="Arial"/>
          <w:color w:val="000000"/>
          <w:sz w:val="20"/>
          <w:szCs w:val="20"/>
        </w:rPr>
        <w:t xml:space="preserve"> na hipótese de aquisição ou de importação de matérias-primas, produtos intermediários e materiais de embalagem, quando o adquirente produzir exclusivamente os produtos de que trata o inciso XXVI do</w:t>
      </w:r>
      <w:r>
        <w:rPr>
          <w:rStyle w:val="apple-converted-space"/>
          <w:rFonts w:ascii="Arial" w:hAnsi="Arial" w:cs="Arial"/>
          <w:color w:val="000000"/>
          <w:sz w:val="20"/>
          <w:szCs w:val="20"/>
        </w:rPr>
        <w:t> </w:t>
      </w:r>
      <w:r>
        <w:rPr>
          <w:rFonts w:ascii="Arial" w:hAnsi="Arial" w:cs="Arial"/>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deste artigo.</w:t>
      </w:r>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 6</w:t>
      </w:r>
      <w:r>
        <w:rPr>
          <w:rFonts w:ascii="Arial" w:hAnsi="Arial" w:cs="Arial"/>
          <w:color w:val="000000"/>
          <w:sz w:val="20"/>
          <w:szCs w:val="20"/>
          <w:u w:val="single"/>
          <w:vertAlign w:val="superscript"/>
        </w:rPr>
        <w:t>o</w:t>
      </w:r>
      <w:r>
        <w:rPr>
          <w:rFonts w:ascii="Arial" w:hAnsi="Arial" w:cs="Arial"/>
          <w:color w:val="000000"/>
          <w:sz w:val="20"/>
          <w:szCs w:val="20"/>
        </w:rPr>
        <w:t>  A suspensão de que trata o § 5</w:t>
      </w:r>
      <w:r>
        <w:rPr>
          <w:rFonts w:ascii="Arial" w:hAnsi="Arial" w:cs="Arial"/>
          <w:color w:val="000000"/>
          <w:sz w:val="20"/>
          <w:szCs w:val="20"/>
          <w:u w:val="single"/>
          <w:vertAlign w:val="superscript"/>
        </w:rPr>
        <w:t>o</w:t>
      </w:r>
      <w:r>
        <w:rPr>
          <w:rStyle w:val="apple-converted-space"/>
          <w:rFonts w:ascii="Arial" w:hAnsi="Arial" w:cs="Arial"/>
          <w:color w:val="000000"/>
          <w:sz w:val="20"/>
          <w:szCs w:val="20"/>
        </w:rPr>
        <w:t> </w:t>
      </w:r>
      <w:r>
        <w:rPr>
          <w:rFonts w:ascii="Arial" w:hAnsi="Arial" w:cs="Arial"/>
          <w:color w:val="000000"/>
          <w:sz w:val="20"/>
          <w:szCs w:val="20"/>
        </w:rPr>
        <w:t>aplica-se também ao Imposto sobre Produtos Industrializados - IPI.</w:t>
      </w:r>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 7</w:t>
      </w:r>
      <w:r>
        <w:rPr>
          <w:rFonts w:ascii="Arial" w:hAnsi="Arial" w:cs="Arial"/>
          <w:color w:val="000000"/>
          <w:sz w:val="20"/>
          <w:szCs w:val="20"/>
          <w:u w:val="single"/>
          <w:vertAlign w:val="superscript"/>
        </w:rPr>
        <w:t>o</w:t>
      </w:r>
      <w:r>
        <w:rPr>
          <w:rFonts w:ascii="Arial" w:hAnsi="Arial" w:cs="Arial"/>
          <w:color w:val="000000"/>
          <w:sz w:val="20"/>
          <w:szCs w:val="20"/>
        </w:rPr>
        <w:t>  Nas notas fiscais e nas declarações de importação relativas às operações de que trata o § 5</w:t>
      </w:r>
      <w:r>
        <w:rPr>
          <w:rFonts w:ascii="Arial" w:hAnsi="Arial" w:cs="Arial"/>
          <w:color w:val="000000"/>
          <w:sz w:val="20"/>
          <w:szCs w:val="20"/>
          <w:u w:val="single"/>
          <w:vertAlign w:val="superscript"/>
        </w:rPr>
        <w:t>o</w:t>
      </w:r>
      <w:r>
        <w:rPr>
          <w:rFonts w:ascii="Arial" w:hAnsi="Arial" w:cs="Arial"/>
          <w:color w:val="000000"/>
          <w:sz w:val="20"/>
          <w:szCs w:val="20"/>
        </w:rPr>
        <w:t>, constará expressão que informe que a operação foi realizada com suspensão da Contribuição para o PIS/</w:t>
      </w:r>
      <w:proofErr w:type="gramStart"/>
      <w:r>
        <w:rPr>
          <w:rFonts w:ascii="Arial" w:hAnsi="Arial" w:cs="Arial"/>
          <w:color w:val="000000"/>
          <w:sz w:val="20"/>
          <w:szCs w:val="20"/>
        </w:rPr>
        <w:t>Pasep</w:t>
      </w:r>
      <w:proofErr w:type="gramEnd"/>
      <w:r>
        <w:rPr>
          <w:rFonts w:ascii="Arial" w:hAnsi="Arial" w:cs="Arial"/>
          <w:color w:val="000000"/>
          <w:sz w:val="20"/>
          <w:szCs w:val="20"/>
        </w:rPr>
        <w:t xml:space="preserve">, da </w:t>
      </w:r>
      <w:proofErr w:type="spellStart"/>
      <w:r>
        <w:rPr>
          <w:rFonts w:ascii="Arial" w:hAnsi="Arial" w:cs="Arial"/>
          <w:color w:val="000000"/>
          <w:sz w:val="20"/>
          <w:szCs w:val="20"/>
        </w:rPr>
        <w:t>Cofins</w:t>
      </w:r>
      <w:proofErr w:type="spellEnd"/>
      <w:r>
        <w:rPr>
          <w:rFonts w:ascii="Arial" w:hAnsi="Arial" w:cs="Arial"/>
          <w:color w:val="000000"/>
          <w:sz w:val="20"/>
          <w:szCs w:val="20"/>
        </w:rPr>
        <w:t xml:space="preserve"> e do IPI, na forma do regulamento.”</w:t>
      </w:r>
    </w:p>
    <w:p w:rsidR="005B3397" w:rsidRDefault="005B3397" w:rsidP="005B3397">
      <w:pPr>
        <w:spacing w:before="300" w:after="300"/>
        <w:ind w:firstLine="570"/>
        <w:jc w:val="both"/>
        <w:rPr>
          <w:color w:val="000000"/>
          <w:sz w:val="27"/>
          <w:szCs w:val="27"/>
        </w:rPr>
      </w:pPr>
      <w:r>
        <w:rPr>
          <w:rFonts w:ascii="Arial" w:hAnsi="Arial" w:cs="Arial"/>
          <w:color w:val="000000"/>
          <w:sz w:val="20"/>
          <w:szCs w:val="20"/>
        </w:rPr>
        <w:t> </w:t>
      </w:r>
      <w:r>
        <w:rPr>
          <w:rFonts w:ascii="Arial" w:hAnsi="Arial" w:cs="Arial"/>
          <w:b/>
          <w:bCs/>
          <w:color w:val="000000"/>
          <w:sz w:val="20"/>
          <w:szCs w:val="20"/>
          <w:u w:val="single"/>
        </w:rPr>
        <w:t>Parágrafo único do art. 2º</w:t>
      </w:r>
    </w:p>
    <w:p w:rsidR="005B3397" w:rsidRDefault="005B3397" w:rsidP="005B3397">
      <w:pPr>
        <w:spacing w:before="300" w:after="300"/>
        <w:ind w:firstLine="570"/>
        <w:jc w:val="both"/>
        <w:rPr>
          <w:color w:val="000000"/>
          <w:sz w:val="27"/>
          <w:szCs w:val="27"/>
        </w:rPr>
      </w:pPr>
      <w:r>
        <w:rPr>
          <w:rFonts w:ascii="Arial" w:hAnsi="Arial" w:cs="Arial"/>
          <w:color w:val="000000"/>
          <w:sz w:val="20"/>
          <w:szCs w:val="20"/>
        </w:rPr>
        <w:t> “Parágrafo único.  O disposto no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 xml:space="preserve">aplica-se também aos produtos classificados nos códigos 03.06, 1605.21.00 e 2309.90.10 </w:t>
      </w:r>
      <w:proofErr w:type="gramStart"/>
      <w:r>
        <w:rPr>
          <w:rFonts w:ascii="Arial" w:hAnsi="Arial" w:cs="Arial"/>
          <w:color w:val="000000"/>
          <w:sz w:val="20"/>
          <w:szCs w:val="20"/>
        </w:rPr>
        <w:t>da Tipi</w:t>
      </w:r>
      <w:proofErr w:type="gramEnd"/>
      <w:r>
        <w:rPr>
          <w:rFonts w:ascii="Arial" w:hAnsi="Arial" w:cs="Arial"/>
          <w:color w:val="000000"/>
          <w:sz w:val="20"/>
          <w:szCs w:val="20"/>
        </w:rPr>
        <w:t>.”</w:t>
      </w:r>
    </w:p>
    <w:p w:rsidR="005B3397" w:rsidRDefault="005B3397" w:rsidP="005B3397">
      <w:pPr>
        <w:spacing w:before="300" w:after="300"/>
        <w:ind w:firstLine="570"/>
        <w:jc w:val="both"/>
        <w:rPr>
          <w:color w:val="000000"/>
          <w:sz w:val="27"/>
          <w:szCs w:val="27"/>
        </w:rPr>
      </w:pPr>
      <w:r>
        <w:rPr>
          <w:rFonts w:ascii="Arial" w:hAnsi="Arial" w:cs="Arial"/>
          <w:b/>
          <w:bCs/>
          <w:color w:val="000000"/>
          <w:sz w:val="20"/>
          <w:szCs w:val="20"/>
        </w:rPr>
        <w:t> </w:t>
      </w:r>
      <w:r>
        <w:rPr>
          <w:rFonts w:ascii="Arial" w:hAnsi="Arial" w:cs="Arial"/>
          <w:b/>
          <w:bCs/>
          <w:color w:val="000000"/>
          <w:sz w:val="20"/>
          <w:szCs w:val="20"/>
          <w:u w:val="single"/>
        </w:rPr>
        <w:t>Art. 9º</w:t>
      </w:r>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‘“Art. 9</w:t>
      </w:r>
      <w:r>
        <w:rPr>
          <w:rFonts w:ascii="Arial" w:hAnsi="Arial" w:cs="Arial"/>
          <w:color w:val="000000"/>
          <w:sz w:val="20"/>
          <w:szCs w:val="20"/>
          <w:u w:val="single"/>
          <w:vertAlign w:val="superscript"/>
        </w:rPr>
        <w:t>o</w:t>
      </w:r>
      <w:r>
        <w:rPr>
          <w:rFonts w:ascii="Arial" w:hAnsi="Arial" w:cs="Arial"/>
          <w:color w:val="000000"/>
          <w:sz w:val="20"/>
          <w:szCs w:val="20"/>
        </w:rPr>
        <w:t>  O art. 1</w:t>
      </w:r>
      <w:r>
        <w:rPr>
          <w:rFonts w:ascii="Arial" w:hAnsi="Arial" w:cs="Arial"/>
          <w:color w:val="000000"/>
          <w:sz w:val="20"/>
          <w:szCs w:val="20"/>
          <w:u w:val="single"/>
          <w:vertAlign w:val="superscript"/>
        </w:rPr>
        <w:t>o</w:t>
      </w:r>
      <w:r>
        <w:rPr>
          <w:rStyle w:val="apple-converted-space"/>
          <w:rFonts w:ascii="Arial" w:hAnsi="Arial" w:cs="Arial"/>
          <w:color w:val="000000"/>
          <w:sz w:val="20"/>
          <w:szCs w:val="20"/>
        </w:rPr>
        <w:t> </w:t>
      </w:r>
      <w:r>
        <w:rPr>
          <w:rFonts w:ascii="Arial" w:hAnsi="Arial" w:cs="Arial"/>
          <w:color w:val="000000"/>
          <w:sz w:val="20"/>
          <w:szCs w:val="20"/>
        </w:rPr>
        <w:t>da Lei n</w:t>
      </w:r>
      <w:r>
        <w:rPr>
          <w:rFonts w:ascii="Arial" w:hAnsi="Arial" w:cs="Arial"/>
          <w:color w:val="000000"/>
          <w:sz w:val="20"/>
          <w:szCs w:val="20"/>
          <w:u w:val="single"/>
          <w:vertAlign w:val="superscript"/>
        </w:rPr>
        <w:t>o</w:t>
      </w:r>
      <w:r>
        <w:rPr>
          <w:rStyle w:val="apple-converted-space"/>
          <w:rFonts w:ascii="Arial" w:hAnsi="Arial" w:cs="Arial"/>
          <w:color w:val="000000"/>
          <w:sz w:val="20"/>
          <w:szCs w:val="20"/>
        </w:rPr>
        <w:t> </w:t>
      </w:r>
      <w:r>
        <w:rPr>
          <w:rFonts w:ascii="Arial" w:hAnsi="Arial" w:cs="Arial"/>
          <w:color w:val="000000"/>
          <w:sz w:val="20"/>
          <w:szCs w:val="20"/>
        </w:rPr>
        <w:t xml:space="preserve">10.485, de </w:t>
      </w:r>
      <w:proofErr w:type="gramStart"/>
      <w:r>
        <w:rPr>
          <w:rFonts w:ascii="Arial" w:hAnsi="Arial" w:cs="Arial"/>
          <w:color w:val="000000"/>
          <w:sz w:val="20"/>
          <w:szCs w:val="20"/>
        </w:rPr>
        <w:t>3</w:t>
      </w:r>
      <w:proofErr w:type="gramEnd"/>
      <w:r>
        <w:rPr>
          <w:rFonts w:ascii="Arial" w:hAnsi="Arial" w:cs="Arial"/>
          <w:color w:val="000000"/>
          <w:sz w:val="20"/>
          <w:szCs w:val="20"/>
        </w:rPr>
        <w:t xml:space="preserve"> de julho de 2002, passa a vigorar com a seguinte redação:</w:t>
      </w:r>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‘Art. 1</w:t>
      </w:r>
      <w:r>
        <w:rPr>
          <w:rFonts w:ascii="Arial" w:hAnsi="Arial" w:cs="Arial"/>
          <w:color w:val="000000"/>
          <w:sz w:val="20"/>
          <w:szCs w:val="20"/>
          <w:u w:val="single"/>
          <w:vertAlign w:val="superscript"/>
        </w:rPr>
        <w:t>o</w:t>
      </w:r>
      <w:r>
        <w:rPr>
          <w:rFonts w:ascii="Arial" w:hAnsi="Arial" w:cs="Arial"/>
          <w:color w:val="000000"/>
          <w:sz w:val="20"/>
          <w:szCs w:val="20"/>
        </w:rPr>
        <w:t>  As pessoas jurídicas fabricantes e as importadoras de máquinas e veículos classificados nos códigos 73.09, 7310.29, 7612.90.12, 8424.81, 84.29, 8430.6990, 84.32, 84.33, 84.34, 84.35, 84.36, 84.37, 87.01, 87.02, 87.03, 87.04, 87.05, 87.06 e 8716.20.00 da Tabela de Incidência do Imposto sobre Produtos Industrializados - TIPI, aprovada pelo Decreto n</w:t>
      </w:r>
      <w:r>
        <w:rPr>
          <w:rFonts w:ascii="Arial" w:hAnsi="Arial" w:cs="Arial"/>
          <w:color w:val="000000"/>
          <w:sz w:val="20"/>
          <w:szCs w:val="20"/>
          <w:u w:val="single"/>
          <w:vertAlign w:val="superscript"/>
        </w:rPr>
        <w:t>o</w:t>
      </w:r>
      <w:r>
        <w:rPr>
          <w:rStyle w:val="apple-converted-space"/>
          <w:rFonts w:ascii="Arial" w:hAnsi="Arial" w:cs="Arial"/>
          <w:color w:val="000000"/>
          <w:sz w:val="20"/>
          <w:szCs w:val="20"/>
        </w:rPr>
        <w:t> </w:t>
      </w:r>
      <w:r>
        <w:rPr>
          <w:rFonts w:ascii="Arial" w:hAnsi="Arial" w:cs="Arial"/>
          <w:color w:val="000000"/>
          <w:sz w:val="20"/>
          <w:szCs w:val="20"/>
        </w:rPr>
        <w:t xml:space="preserve">7.660, de 23 de dezembro de 2011, relativamente à receita bruta decorrente da venda desses produtos, ficam sujeitas ao pagamento da contribuição para os Programas de Integração Social e de Formação do Patrimônio do Servidor Público - PIS/PASEP e da </w:t>
      </w:r>
      <w:r>
        <w:rPr>
          <w:rFonts w:ascii="Arial" w:hAnsi="Arial" w:cs="Arial"/>
          <w:color w:val="000000"/>
          <w:sz w:val="20"/>
          <w:szCs w:val="20"/>
        </w:rPr>
        <w:lastRenderedPageBreak/>
        <w:t>Contribuição para o Financiamento da Seguridade Social - COFINS, às alíquotas de 2% (dois por cento) e 9,6% (nove inteiros e seis décimos por cento), respectivamente.</w:t>
      </w:r>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 1</w:t>
      </w:r>
      <w:r>
        <w:rPr>
          <w:rFonts w:ascii="Arial" w:hAnsi="Arial" w:cs="Arial"/>
          <w:color w:val="000000"/>
          <w:sz w:val="20"/>
          <w:szCs w:val="20"/>
          <w:u w:val="single"/>
          <w:vertAlign w:val="superscript"/>
        </w:rPr>
        <w:t>o</w:t>
      </w:r>
      <w:r>
        <w:rPr>
          <w:rFonts w:ascii="Arial" w:hAnsi="Arial" w:cs="Arial"/>
          <w:color w:val="000000"/>
          <w:sz w:val="20"/>
          <w:szCs w:val="20"/>
        </w:rPr>
        <w:t>  O disposto no</w:t>
      </w:r>
      <w:r>
        <w:rPr>
          <w:rStyle w:val="apple-converted-space"/>
          <w:rFonts w:ascii="Arial" w:hAnsi="Arial" w:cs="Arial"/>
          <w:color w:val="000000"/>
          <w:sz w:val="20"/>
          <w:szCs w:val="20"/>
        </w:rPr>
        <w:t> </w:t>
      </w:r>
      <w:r>
        <w:rPr>
          <w:rFonts w:ascii="Arial" w:hAnsi="Arial" w:cs="Arial"/>
          <w:b/>
          <w:bCs/>
          <w:color w:val="000000"/>
          <w:sz w:val="20"/>
          <w:szCs w:val="20"/>
        </w:rPr>
        <w:t>caput</w:t>
      </w:r>
      <w:r>
        <w:rPr>
          <w:rFonts w:ascii="Arial" w:hAnsi="Arial" w:cs="Arial"/>
          <w:color w:val="000000"/>
          <w:sz w:val="20"/>
          <w:szCs w:val="20"/>
        </w:rPr>
        <w:t xml:space="preserve">, relativamente aos produtos classificados no Capítulo 84 </w:t>
      </w:r>
      <w:proofErr w:type="gramStart"/>
      <w:r>
        <w:rPr>
          <w:rFonts w:ascii="Arial" w:hAnsi="Arial" w:cs="Arial"/>
          <w:color w:val="000000"/>
          <w:sz w:val="20"/>
          <w:szCs w:val="20"/>
        </w:rPr>
        <w:t>da Tipi</w:t>
      </w:r>
      <w:proofErr w:type="gramEnd"/>
      <w:r>
        <w:rPr>
          <w:rFonts w:ascii="Arial" w:hAnsi="Arial" w:cs="Arial"/>
          <w:color w:val="000000"/>
          <w:sz w:val="20"/>
          <w:szCs w:val="20"/>
        </w:rPr>
        <w:t>, aplica-se aos produtos autopropulsados ou não.</w:t>
      </w:r>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 2</w:t>
      </w:r>
      <w:r>
        <w:rPr>
          <w:rFonts w:ascii="Arial" w:hAnsi="Arial" w:cs="Arial"/>
          <w:color w:val="000000"/>
          <w:sz w:val="20"/>
          <w:szCs w:val="20"/>
          <w:u w:val="single"/>
          <w:vertAlign w:val="superscript"/>
        </w:rPr>
        <w:t>o</w:t>
      </w:r>
      <w:r>
        <w:rPr>
          <w:rFonts w:ascii="Arial" w:hAnsi="Arial" w:cs="Arial"/>
          <w:color w:val="000000"/>
          <w:sz w:val="20"/>
          <w:szCs w:val="20"/>
        </w:rPr>
        <w:t xml:space="preserve">  </w:t>
      </w:r>
      <w:proofErr w:type="gramStart"/>
      <w:r>
        <w:rPr>
          <w:rFonts w:ascii="Arial" w:hAnsi="Arial" w:cs="Arial"/>
          <w:color w:val="000000"/>
          <w:sz w:val="20"/>
          <w:szCs w:val="20"/>
        </w:rPr>
        <w:t>...............................................................................</w:t>
      </w:r>
      <w:proofErr w:type="gramEnd"/>
    </w:p>
    <w:p w:rsidR="005B3397" w:rsidRDefault="005B3397" w:rsidP="005B3397">
      <w:pPr>
        <w:pStyle w:val="texto1"/>
        <w:spacing w:before="300" w:beforeAutospacing="0" w:after="300" w:afterAutospacing="0"/>
        <w:ind w:firstLine="570"/>
        <w:rPr>
          <w:color w:val="000000"/>
          <w:sz w:val="27"/>
          <w:szCs w:val="27"/>
        </w:rPr>
      </w:pPr>
      <w:proofErr w:type="gramStart"/>
      <w:r>
        <w:rPr>
          <w:rFonts w:ascii="Arial" w:hAnsi="Arial" w:cs="Arial"/>
          <w:color w:val="000000"/>
          <w:sz w:val="20"/>
          <w:szCs w:val="20"/>
        </w:rPr>
        <w:t>..............................................................................................</w:t>
      </w:r>
      <w:proofErr w:type="gramEnd"/>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xml:space="preserve"> II - em 48,1% (quarenta e oito inteiros e um décimo por cento), no caso de venda de produtos classificados nos seguintes códigos </w:t>
      </w:r>
      <w:proofErr w:type="gramStart"/>
      <w:r>
        <w:rPr>
          <w:rFonts w:ascii="Arial" w:hAnsi="Arial" w:cs="Arial"/>
          <w:color w:val="000000"/>
          <w:sz w:val="20"/>
          <w:szCs w:val="20"/>
        </w:rPr>
        <w:t>da Tipi</w:t>
      </w:r>
      <w:proofErr w:type="gramEnd"/>
      <w:r>
        <w:rPr>
          <w:rFonts w:ascii="Arial" w:hAnsi="Arial" w:cs="Arial"/>
          <w:color w:val="000000"/>
          <w:sz w:val="20"/>
          <w:szCs w:val="20"/>
        </w:rPr>
        <w:t xml:space="preserve">: 73.09, 7310.29, 7612.90.12, 8424.81, 84.29, 8430.69.90, 84.32, 84.33, 84.34, 84.35, 84.36, 84.37, 87.01, 8702.10.00 </w:t>
      </w:r>
      <w:proofErr w:type="spellStart"/>
      <w:r>
        <w:rPr>
          <w:rFonts w:ascii="Arial" w:hAnsi="Arial" w:cs="Arial"/>
          <w:color w:val="000000"/>
          <w:sz w:val="20"/>
          <w:szCs w:val="20"/>
        </w:rPr>
        <w:t>Ex</w:t>
      </w:r>
      <w:proofErr w:type="spellEnd"/>
      <w:r>
        <w:rPr>
          <w:rFonts w:ascii="Arial" w:hAnsi="Arial" w:cs="Arial"/>
          <w:color w:val="000000"/>
          <w:sz w:val="20"/>
          <w:szCs w:val="20"/>
        </w:rPr>
        <w:t xml:space="preserve"> 02, 8702.90.90 </w:t>
      </w:r>
      <w:proofErr w:type="spellStart"/>
      <w:r>
        <w:rPr>
          <w:rFonts w:ascii="Arial" w:hAnsi="Arial" w:cs="Arial"/>
          <w:color w:val="000000"/>
          <w:sz w:val="20"/>
          <w:szCs w:val="20"/>
        </w:rPr>
        <w:t>Ex</w:t>
      </w:r>
      <w:proofErr w:type="spellEnd"/>
      <w:r>
        <w:rPr>
          <w:rFonts w:ascii="Arial" w:hAnsi="Arial" w:cs="Arial"/>
          <w:color w:val="000000"/>
          <w:sz w:val="20"/>
          <w:szCs w:val="20"/>
        </w:rPr>
        <w:t xml:space="preserve"> 02, 8704.10.00, 87.05,  8706.00.10 </w:t>
      </w:r>
      <w:proofErr w:type="spellStart"/>
      <w:r>
        <w:rPr>
          <w:rFonts w:ascii="Arial" w:hAnsi="Arial" w:cs="Arial"/>
          <w:color w:val="000000"/>
          <w:sz w:val="20"/>
          <w:szCs w:val="20"/>
        </w:rPr>
        <w:t>Ex</w:t>
      </w:r>
      <w:proofErr w:type="spellEnd"/>
      <w:r>
        <w:rPr>
          <w:rFonts w:ascii="Arial" w:hAnsi="Arial" w:cs="Arial"/>
          <w:color w:val="000000"/>
          <w:sz w:val="20"/>
          <w:szCs w:val="20"/>
        </w:rPr>
        <w:t xml:space="preserve"> 01 (somente os destinados aos produtos classificados nos </w:t>
      </w:r>
      <w:proofErr w:type="spellStart"/>
      <w:r>
        <w:rPr>
          <w:rFonts w:ascii="Arial" w:hAnsi="Arial" w:cs="Arial"/>
          <w:color w:val="000000"/>
          <w:sz w:val="20"/>
          <w:szCs w:val="20"/>
        </w:rPr>
        <w:t>Ex</w:t>
      </w:r>
      <w:proofErr w:type="spellEnd"/>
      <w:r>
        <w:rPr>
          <w:rFonts w:ascii="Arial" w:hAnsi="Arial" w:cs="Arial"/>
          <w:color w:val="000000"/>
          <w:sz w:val="20"/>
          <w:szCs w:val="20"/>
        </w:rPr>
        <w:t xml:space="preserve"> 02 dos códigos 8702.10.00 e 8702.90.90) e 8716.20.00.</w:t>
      </w:r>
    </w:p>
    <w:p w:rsidR="005B3397" w:rsidRDefault="005B3397" w:rsidP="005B3397">
      <w:pPr>
        <w:spacing w:before="300" w:after="300"/>
        <w:ind w:firstLine="570"/>
        <w:jc w:val="both"/>
        <w:rPr>
          <w:color w:val="000000"/>
          <w:sz w:val="27"/>
          <w:szCs w:val="27"/>
        </w:rPr>
      </w:pPr>
      <w:proofErr w:type="gramStart"/>
      <w:r>
        <w:rPr>
          <w:rFonts w:ascii="Arial" w:hAnsi="Arial" w:cs="Arial"/>
          <w:color w:val="000000"/>
          <w:sz w:val="20"/>
          <w:szCs w:val="20"/>
        </w:rPr>
        <w:t>..................................................................................</w:t>
      </w:r>
      <w:proofErr w:type="gramEnd"/>
      <w:r>
        <w:rPr>
          <w:rFonts w:ascii="Arial" w:hAnsi="Arial" w:cs="Arial"/>
          <w:color w:val="000000"/>
          <w:sz w:val="20"/>
          <w:szCs w:val="20"/>
        </w:rPr>
        <w:t>’ (NR)”</w:t>
      </w:r>
    </w:p>
    <w:p w:rsidR="005B3397" w:rsidRDefault="005B3397" w:rsidP="005B3397">
      <w:pPr>
        <w:spacing w:before="300" w:after="300"/>
        <w:ind w:firstLine="570"/>
        <w:rPr>
          <w:color w:val="000000"/>
          <w:sz w:val="27"/>
          <w:szCs w:val="27"/>
        </w:rPr>
      </w:pPr>
      <w:r>
        <w:rPr>
          <w:rFonts w:ascii="Arial" w:hAnsi="Arial" w:cs="Arial"/>
          <w:b/>
          <w:bCs/>
          <w:color w:val="000000"/>
          <w:sz w:val="20"/>
          <w:szCs w:val="20"/>
          <w:lang w:val="pt-PT"/>
        </w:rPr>
        <w:t> </w:t>
      </w:r>
      <w:r>
        <w:rPr>
          <w:rFonts w:ascii="Arial" w:hAnsi="Arial" w:cs="Arial"/>
          <w:b/>
          <w:bCs/>
          <w:color w:val="000000"/>
          <w:sz w:val="20"/>
          <w:szCs w:val="20"/>
          <w:u w:val="single"/>
        </w:rPr>
        <w:t>Razão dos vetos</w:t>
      </w:r>
    </w:p>
    <w:p w:rsidR="005B3397" w:rsidRDefault="005B3397" w:rsidP="005B3397">
      <w:pPr>
        <w:spacing w:before="300" w:after="300"/>
        <w:ind w:firstLine="570"/>
        <w:rPr>
          <w:color w:val="000000"/>
          <w:sz w:val="27"/>
          <w:szCs w:val="27"/>
        </w:rPr>
      </w:pPr>
      <w:r>
        <w:rPr>
          <w:rFonts w:ascii="Arial" w:hAnsi="Arial" w:cs="Arial"/>
          <w:b/>
          <w:bCs/>
          <w:color w:val="000000"/>
          <w:sz w:val="20"/>
          <w:szCs w:val="20"/>
        </w:rPr>
        <w:t> </w:t>
      </w:r>
      <w:r>
        <w:rPr>
          <w:rFonts w:ascii="Arial" w:hAnsi="Arial" w:cs="Arial"/>
          <w:color w:val="000000"/>
          <w:sz w:val="20"/>
          <w:szCs w:val="20"/>
        </w:rPr>
        <w:t>“Os dispositivos violam a Lei de Responsabilidade Fiscal ao preverem desonerações sem apresentar as estimativas de impacto e as devidas compensações financeiras.”</w:t>
      </w:r>
    </w:p>
    <w:p w:rsidR="005B3397" w:rsidRDefault="005B3397" w:rsidP="005B3397">
      <w:pPr>
        <w:spacing w:before="300" w:after="300"/>
        <w:ind w:firstLine="570"/>
        <w:rPr>
          <w:color w:val="000000"/>
          <w:sz w:val="27"/>
          <w:szCs w:val="27"/>
        </w:rPr>
      </w:pPr>
      <w:r>
        <w:rPr>
          <w:rFonts w:ascii="Arial" w:hAnsi="Arial" w:cs="Arial"/>
          <w:b/>
          <w:bCs/>
          <w:color w:val="000000"/>
          <w:sz w:val="20"/>
          <w:szCs w:val="20"/>
        </w:rPr>
        <w:t> </w:t>
      </w:r>
      <w:r>
        <w:rPr>
          <w:rFonts w:ascii="Arial" w:hAnsi="Arial" w:cs="Arial"/>
          <w:color w:val="000000"/>
          <w:sz w:val="20"/>
          <w:szCs w:val="20"/>
        </w:rPr>
        <w:t>Os Ministérios da Fazenda e de Minas e Energia opinaram pelo veto aos seguintes dispositivos:</w:t>
      </w:r>
    </w:p>
    <w:p w:rsidR="005B3397" w:rsidRDefault="005B3397" w:rsidP="005B3397">
      <w:pPr>
        <w:spacing w:before="300" w:after="300"/>
        <w:ind w:firstLine="570"/>
        <w:rPr>
          <w:color w:val="000000"/>
          <w:sz w:val="27"/>
          <w:szCs w:val="27"/>
        </w:rPr>
      </w:pPr>
      <w:r>
        <w:rPr>
          <w:rFonts w:ascii="Arial" w:hAnsi="Arial" w:cs="Arial"/>
          <w:color w:val="000000"/>
          <w:sz w:val="20"/>
          <w:szCs w:val="20"/>
        </w:rPr>
        <w:t> </w:t>
      </w:r>
      <w:r>
        <w:rPr>
          <w:rFonts w:ascii="Arial" w:hAnsi="Arial" w:cs="Arial"/>
          <w:b/>
          <w:bCs/>
          <w:color w:val="000000"/>
          <w:sz w:val="20"/>
          <w:szCs w:val="20"/>
          <w:u w:val="single"/>
          <w:lang w:val="pt-PT"/>
        </w:rPr>
        <w:t>Art. 21-D, da Lei nº</w:t>
      </w:r>
      <w:r>
        <w:rPr>
          <w:rStyle w:val="apple-converted-space"/>
          <w:rFonts w:ascii="Arial" w:hAnsi="Arial" w:cs="Arial"/>
          <w:b/>
          <w:bCs/>
          <w:color w:val="000000"/>
          <w:sz w:val="20"/>
          <w:szCs w:val="20"/>
          <w:u w:val="single"/>
          <w:lang w:val="pt-PT"/>
        </w:rPr>
        <w:t> </w:t>
      </w:r>
      <w:r>
        <w:rPr>
          <w:rFonts w:ascii="Arial" w:hAnsi="Arial" w:cs="Arial"/>
          <w:b/>
          <w:bCs/>
          <w:color w:val="000000"/>
          <w:sz w:val="20"/>
          <w:szCs w:val="20"/>
          <w:u w:val="single"/>
        </w:rPr>
        <w:t xml:space="preserve">10.848, de 15 de março de 2004, acrescido pelo art. 11 do projeto de lei de </w:t>
      </w:r>
      <w:proofErr w:type="gramStart"/>
      <w:r>
        <w:rPr>
          <w:rFonts w:ascii="Arial" w:hAnsi="Arial" w:cs="Arial"/>
          <w:b/>
          <w:bCs/>
          <w:color w:val="000000"/>
          <w:sz w:val="20"/>
          <w:szCs w:val="20"/>
          <w:u w:val="single"/>
        </w:rPr>
        <w:t>conversão</w:t>
      </w:r>
      <w:proofErr w:type="gramEnd"/>
    </w:p>
    <w:p w:rsidR="005B3397" w:rsidRDefault="005B3397" w:rsidP="005B3397">
      <w:pPr>
        <w:spacing w:before="300" w:after="300"/>
        <w:ind w:firstLine="570"/>
        <w:rPr>
          <w:color w:val="000000"/>
          <w:sz w:val="27"/>
          <w:szCs w:val="27"/>
        </w:rPr>
      </w:pPr>
      <w:r>
        <w:rPr>
          <w:rFonts w:ascii="Arial" w:hAnsi="Arial" w:cs="Arial"/>
          <w:b/>
          <w:bCs/>
          <w:color w:val="000000"/>
          <w:sz w:val="20"/>
          <w:szCs w:val="20"/>
          <w:lang w:val="pt-PT"/>
        </w:rPr>
        <w:t> </w:t>
      </w:r>
      <w:proofErr w:type="gramStart"/>
      <w:r>
        <w:rPr>
          <w:rFonts w:ascii="Arial" w:hAnsi="Arial" w:cs="Arial"/>
          <w:color w:val="000000"/>
          <w:sz w:val="20"/>
          <w:szCs w:val="20"/>
        </w:rPr>
        <w:t>“Art. 21-D.</w:t>
      </w:r>
      <w:proofErr w:type="gramEnd"/>
      <w:r>
        <w:rPr>
          <w:rFonts w:ascii="Arial" w:hAnsi="Arial" w:cs="Arial"/>
          <w:color w:val="000000"/>
          <w:sz w:val="20"/>
          <w:szCs w:val="20"/>
        </w:rPr>
        <w:t>  As penalidades previstas para o descumprimento das disponibilidades de energia oriundas de leilões de energia nova serão inscritas em dívida ativa, acrescidas de encargos legais, nos termos e na forma da legislação aplicável à dívida ativa da União, mantendo-se o seguro-garantia apenas para cumprimento do pagamento final das referidas penalidades.</w:t>
      </w:r>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 1</w:t>
      </w:r>
      <w:r>
        <w:rPr>
          <w:rFonts w:ascii="Arial" w:hAnsi="Arial" w:cs="Arial"/>
          <w:color w:val="000000"/>
          <w:sz w:val="20"/>
          <w:szCs w:val="20"/>
          <w:u w:val="single"/>
          <w:vertAlign w:val="superscript"/>
        </w:rPr>
        <w:t>o</w:t>
      </w:r>
      <w:r>
        <w:rPr>
          <w:rFonts w:ascii="Arial" w:hAnsi="Arial" w:cs="Arial"/>
          <w:color w:val="000000"/>
          <w:sz w:val="20"/>
          <w:szCs w:val="20"/>
        </w:rPr>
        <w:t>  O seguro-garantia poderá ser dispensado caso o devedor apresente garantias reais para o pagamento previsto no</w:t>
      </w:r>
      <w:r>
        <w:rPr>
          <w:rStyle w:val="apple-converted-space"/>
          <w:rFonts w:ascii="Arial" w:hAnsi="Arial" w:cs="Arial"/>
          <w:color w:val="000000"/>
          <w:sz w:val="20"/>
          <w:szCs w:val="20"/>
        </w:rPr>
        <w:t> </w:t>
      </w:r>
      <w:r>
        <w:rPr>
          <w:rFonts w:ascii="Arial" w:hAnsi="Arial" w:cs="Arial"/>
          <w:color w:val="000000"/>
          <w:sz w:val="20"/>
          <w:szCs w:val="20"/>
        </w:rPr>
        <w:t>caput.</w:t>
      </w:r>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 2</w:t>
      </w:r>
      <w:r>
        <w:rPr>
          <w:rFonts w:ascii="Arial" w:hAnsi="Arial" w:cs="Arial"/>
          <w:color w:val="000000"/>
          <w:sz w:val="20"/>
          <w:szCs w:val="20"/>
          <w:u w:val="single"/>
          <w:vertAlign w:val="superscript"/>
        </w:rPr>
        <w:t>o</w:t>
      </w:r>
      <w:r>
        <w:rPr>
          <w:rFonts w:ascii="Arial" w:hAnsi="Arial" w:cs="Arial"/>
          <w:color w:val="000000"/>
          <w:sz w:val="20"/>
          <w:szCs w:val="20"/>
        </w:rPr>
        <w:t xml:space="preserve">  Com a cobrança das penalidades, ficam preservados todos os direitos adquiridos nos leilões, não podendo ser aplicada qualquer outra penalidade que não a prevista no contrato e na </w:t>
      </w:r>
      <w:proofErr w:type="gramStart"/>
      <w:r>
        <w:rPr>
          <w:rFonts w:ascii="Arial" w:hAnsi="Arial" w:cs="Arial"/>
          <w:color w:val="000000"/>
          <w:sz w:val="20"/>
          <w:szCs w:val="20"/>
        </w:rPr>
        <w:t>legislação.</w:t>
      </w:r>
      <w:proofErr w:type="gramEnd"/>
      <w:r>
        <w:rPr>
          <w:rFonts w:ascii="Arial" w:hAnsi="Arial" w:cs="Arial"/>
          <w:color w:val="000000"/>
          <w:sz w:val="20"/>
          <w:szCs w:val="20"/>
        </w:rPr>
        <w:t>’’</w:t>
      </w:r>
    </w:p>
    <w:p w:rsidR="005B3397" w:rsidRDefault="005B3397" w:rsidP="005B3397">
      <w:pPr>
        <w:spacing w:before="300" w:after="300"/>
        <w:ind w:firstLine="570"/>
        <w:jc w:val="both"/>
        <w:rPr>
          <w:color w:val="000000"/>
          <w:sz w:val="27"/>
          <w:szCs w:val="27"/>
        </w:rPr>
      </w:pPr>
      <w:r>
        <w:rPr>
          <w:rFonts w:ascii="Arial" w:hAnsi="Arial" w:cs="Arial"/>
          <w:color w:val="000000"/>
          <w:sz w:val="20"/>
          <w:szCs w:val="20"/>
        </w:rPr>
        <w:t> </w:t>
      </w:r>
      <w:r>
        <w:rPr>
          <w:rFonts w:ascii="Arial" w:hAnsi="Arial" w:cs="Arial"/>
          <w:b/>
          <w:bCs/>
          <w:color w:val="000000"/>
          <w:sz w:val="20"/>
          <w:szCs w:val="20"/>
          <w:u w:val="single"/>
        </w:rPr>
        <w:t>Razões do veto</w:t>
      </w:r>
    </w:p>
    <w:p w:rsidR="005B3397" w:rsidRDefault="005B3397" w:rsidP="005B3397">
      <w:pPr>
        <w:spacing w:before="300" w:after="300"/>
        <w:ind w:firstLine="570"/>
        <w:rPr>
          <w:color w:val="000000"/>
          <w:sz w:val="27"/>
          <w:szCs w:val="27"/>
        </w:rPr>
      </w:pPr>
      <w:r>
        <w:rPr>
          <w:rFonts w:ascii="Arial" w:hAnsi="Arial" w:cs="Arial"/>
          <w:color w:val="000000"/>
          <w:sz w:val="20"/>
          <w:szCs w:val="20"/>
        </w:rPr>
        <w:t> “O setor elétrico possui sistema próprio para a cobrança de penalidades pecuniárias, cujos valores são recolhidos à Conta de Desenvolvimento Energético – CDE. Além disso, o modelo proposto enfraquece o sistema regulatório vigente, criando risco à segurança do abastecimento e à confiabilidade do fornecimento de energia elétrica. Por fim, a proposta cria assimetria injustificada no setor elétrico, pois se aplicaria apenas à cobrança de penalidades decorrentes de leilões de energia nova.”</w:t>
      </w:r>
    </w:p>
    <w:p w:rsidR="005B3397" w:rsidRDefault="005B3397" w:rsidP="005B3397">
      <w:pPr>
        <w:spacing w:before="300" w:after="300"/>
        <w:ind w:firstLine="570"/>
        <w:rPr>
          <w:color w:val="000000"/>
          <w:sz w:val="27"/>
          <w:szCs w:val="27"/>
        </w:rPr>
      </w:pPr>
      <w:r>
        <w:rPr>
          <w:rFonts w:ascii="Arial" w:hAnsi="Arial" w:cs="Arial"/>
          <w:color w:val="000000"/>
          <w:sz w:val="20"/>
          <w:szCs w:val="20"/>
        </w:rPr>
        <w:t> </w:t>
      </w:r>
      <w:r>
        <w:rPr>
          <w:rFonts w:ascii="Arial" w:hAnsi="Arial" w:cs="Arial"/>
          <w:b/>
          <w:bCs/>
          <w:color w:val="000000"/>
          <w:sz w:val="20"/>
          <w:szCs w:val="20"/>
          <w:u w:val="single"/>
          <w:lang w:val="pt-PT"/>
        </w:rPr>
        <w:t>Art. 14</w:t>
      </w:r>
    </w:p>
    <w:p w:rsidR="005B3397" w:rsidRDefault="005B3397" w:rsidP="005B3397">
      <w:pPr>
        <w:spacing w:before="300" w:after="300"/>
        <w:ind w:firstLine="570"/>
        <w:rPr>
          <w:color w:val="000000"/>
          <w:sz w:val="27"/>
          <w:szCs w:val="27"/>
        </w:rPr>
      </w:pPr>
      <w:r>
        <w:rPr>
          <w:rFonts w:ascii="Arial" w:hAnsi="Arial" w:cs="Arial"/>
          <w:b/>
          <w:bCs/>
          <w:color w:val="000000"/>
          <w:sz w:val="20"/>
          <w:szCs w:val="20"/>
          <w:lang w:val="pt-PT"/>
        </w:rPr>
        <w:t> </w:t>
      </w:r>
      <w:r>
        <w:rPr>
          <w:rFonts w:ascii="Arial" w:hAnsi="Arial" w:cs="Arial"/>
          <w:color w:val="000000"/>
          <w:sz w:val="20"/>
          <w:szCs w:val="20"/>
        </w:rPr>
        <w:t>‘</w:t>
      </w:r>
      <w:proofErr w:type="gramStart"/>
      <w:r>
        <w:rPr>
          <w:rFonts w:ascii="Arial" w:hAnsi="Arial" w:cs="Arial"/>
          <w:color w:val="000000"/>
          <w:sz w:val="20"/>
          <w:szCs w:val="20"/>
        </w:rPr>
        <w:t>“Art. 14.</w:t>
      </w:r>
      <w:proofErr w:type="gramEnd"/>
      <w:r>
        <w:rPr>
          <w:rFonts w:ascii="Arial" w:hAnsi="Arial" w:cs="Arial"/>
          <w:color w:val="000000"/>
          <w:sz w:val="20"/>
          <w:szCs w:val="20"/>
        </w:rPr>
        <w:t xml:space="preserve"> O § 1</w:t>
      </w:r>
      <w:r>
        <w:rPr>
          <w:rFonts w:ascii="Arial" w:hAnsi="Arial" w:cs="Arial"/>
          <w:color w:val="000000"/>
          <w:sz w:val="20"/>
          <w:szCs w:val="20"/>
          <w:u w:val="single"/>
          <w:vertAlign w:val="superscript"/>
        </w:rPr>
        <w:t>o</w:t>
      </w:r>
      <w:r>
        <w:rPr>
          <w:rStyle w:val="apple-converted-space"/>
          <w:rFonts w:ascii="Arial" w:hAnsi="Arial" w:cs="Arial"/>
          <w:color w:val="000000"/>
          <w:sz w:val="20"/>
          <w:szCs w:val="20"/>
        </w:rPr>
        <w:t> </w:t>
      </w:r>
      <w:r>
        <w:rPr>
          <w:rFonts w:ascii="Arial" w:hAnsi="Arial" w:cs="Arial"/>
          <w:color w:val="000000"/>
          <w:sz w:val="20"/>
          <w:szCs w:val="20"/>
        </w:rPr>
        <w:t>do art. 26 da Lei n</w:t>
      </w:r>
      <w:r>
        <w:rPr>
          <w:rFonts w:ascii="Arial" w:hAnsi="Arial" w:cs="Arial"/>
          <w:color w:val="000000"/>
          <w:sz w:val="20"/>
          <w:szCs w:val="20"/>
          <w:u w:val="single"/>
          <w:vertAlign w:val="superscript"/>
        </w:rPr>
        <w:t>o</w:t>
      </w:r>
      <w:r>
        <w:rPr>
          <w:rStyle w:val="apple-converted-space"/>
          <w:rFonts w:ascii="Arial" w:hAnsi="Arial" w:cs="Arial"/>
          <w:color w:val="000000"/>
          <w:sz w:val="20"/>
          <w:szCs w:val="20"/>
        </w:rPr>
        <w:t> </w:t>
      </w:r>
      <w:r>
        <w:rPr>
          <w:rFonts w:ascii="Arial" w:hAnsi="Arial" w:cs="Arial"/>
          <w:color w:val="000000"/>
          <w:sz w:val="20"/>
          <w:szCs w:val="20"/>
        </w:rPr>
        <w:t>9.427, de 26 de dezembro de 1996, passa a vigorar com a seguinte redação:</w:t>
      </w:r>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lastRenderedPageBreak/>
        <w:t xml:space="preserve"> ‘Art. 26. </w:t>
      </w:r>
      <w:proofErr w:type="gramStart"/>
      <w:r>
        <w:rPr>
          <w:rFonts w:ascii="Arial" w:hAnsi="Arial" w:cs="Arial"/>
          <w:color w:val="000000"/>
          <w:sz w:val="20"/>
          <w:szCs w:val="20"/>
        </w:rPr>
        <w:t>.........................................................................</w:t>
      </w:r>
      <w:proofErr w:type="gramEnd"/>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 1</w:t>
      </w:r>
      <w:r>
        <w:rPr>
          <w:rFonts w:ascii="Arial" w:hAnsi="Arial" w:cs="Arial"/>
          <w:color w:val="000000"/>
          <w:sz w:val="20"/>
          <w:szCs w:val="20"/>
          <w:u w:val="single"/>
          <w:vertAlign w:val="superscript"/>
        </w:rPr>
        <w:t>o</w:t>
      </w:r>
      <w:r>
        <w:rPr>
          <w:rFonts w:ascii="Arial" w:hAnsi="Arial" w:cs="Arial"/>
          <w:color w:val="000000"/>
          <w:sz w:val="20"/>
          <w:szCs w:val="20"/>
        </w:rPr>
        <w:t>  Para o aproveitamento referido no inciso I do</w:t>
      </w:r>
      <w:r>
        <w:rPr>
          <w:rStyle w:val="apple-converted-space"/>
          <w:rFonts w:ascii="Arial" w:hAnsi="Arial" w:cs="Arial"/>
          <w:color w:val="000000"/>
          <w:sz w:val="20"/>
          <w:szCs w:val="20"/>
        </w:rPr>
        <w:t> </w:t>
      </w:r>
      <w:r>
        <w:rPr>
          <w:rFonts w:ascii="Arial" w:hAnsi="Arial" w:cs="Arial"/>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 xml:space="preserve">deste artigo, para os empreendimentos hidroelétricos com potência igual ou inferior a 1.000 (mil) </w:t>
      </w:r>
      <w:proofErr w:type="gramStart"/>
      <w:r>
        <w:rPr>
          <w:rFonts w:ascii="Arial" w:hAnsi="Arial" w:cs="Arial"/>
          <w:color w:val="000000"/>
          <w:sz w:val="20"/>
          <w:szCs w:val="20"/>
        </w:rPr>
        <w:t>kW</w:t>
      </w:r>
      <w:proofErr w:type="gramEnd"/>
      <w:r>
        <w:rPr>
          <w:rFonts w:ascii="Arial" w:hAnsi="Arial" w:cs="Arial"/>
          <w:color w:val="000000"/>
          <w:sz w:val="20"/>
          <w:szCs w:val="20"/>
        </w:rPr>
        <w:t xml:space="preserve"> e para aqueles com base em fontes solar, eólica, biomassa e cogeração qualificada, conforme regulamentação da Aneel, cuja potência injetada nos sistemas de transmissão ou distribuição seja menor ou igual a 30.000 (trinta mil) kW, a Aneel estipulará percentual de redução não inferior a 50% (cinquenta por cento) a ser aplicado às tarifas de uso dos sistemas elétricos de transmissão e de distribuição, incidindo na produção e no consumo da energia comercializada ou autoconsumida pelos aproveitamentos.</w:t>
      </w:r>
    </w:p>
    <w:p w:rsidR="005B3397" w:rsidRDefault="005B3397" w:rsidP="005B3397">
      <w:pPr>
        <w:pStyle w:val="texto1"/>
        <w:spacing w:before="300" w:beforeAutospacing="0" w:after="300" w:afterAutospacing="0"/>
        <w:ind w:firstLine="570"/>
        <w:rPr>
          <w:color w:val="000000"/>
          <w:sz w:val="27"/>
          <w:szCs w:val="27"/>
        </w:rPr>
      </w:pPr>
      <w:proofErr w:type="gramStart"/>
      <w:r>
        <w:rPr>
          <w:rFonts w:ascii="Arial" w:hAnsi="Arial" w:cs="Arial"/>
          <w:color w:val="000000"/>
          <w:sz w:val="20"/>
          <w:szCs w:val="20"/>
        </w:rPr>
        <w:t>..................................................................................</w:t>
      </w:r>
      <w:proofErr w:type="gramEnd"/>
      <w:r>
        <w:rPr>
          <w:rFonts w:ascii="Arial" w:hAnsi="Arial" w:cs="Arial"/>
          <w:color w:val="000000"/>
          <w:sz w:val="20"/>
          <w:szCs w:val="20"/>
        </w:rPr>
        <w:t>’ (NR)”</w:t>
      </w:r>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w:t>
      </w:r>
      <w:r>
        <w:rPr>
          <w:rFonts w:ascii="Arial" w:hAnsi="Arial" w:cs="Arial"/>
          <w:b/>
          <w:bCs/>
          <w:color w:val="000000"/>
          <w:sz w:val="20"/>
          <w:szCs w:val="20"/>
          <w:u w:val="single"/>
        </w:rPr>
        <w:t>Razão do veto</w:t>
      </w:r>
    </w:p>
    <w:p w:rsidR="005B3397" w:rsidRDefault="005B3397" w:rsidP="005B3397">
      <w:pPr>
        <w:spacing w:before="300" w:after="300"/>
        <w:ind w:firstLine="570"/>
        <w:rPr>
          <w:color w:val="000000"/>
          <w:sz w:val="27"/>
          <w:szCs w:val="27"/>
        </w:rPr>
      </w:pPr>
      <w:r>
        <w:rPr>
          <w:rFonts w:ascii="Arial" w:hAnsi="Arial" w:cs="Arial"/>
          <w:color w:val="000000"/>
          <w:sz w:val="20"/>
          <w:szCs w:val="20"/>
        </w:rPr>
        <w:t xml:space="preserve"> “A atual redação do dispositivo confere a abrangência adequada ao incentivo. Nos termos propostos, a medida contraria o princípio da modicidade tarifária e amplia indevidamente o desconto previsto na legislação, ao beneficiar um pequeno grupo em detrimento da parcela majoritária dos consumidores de energia elétrica, que arcariam com o </w:t>
      </w:r>
      <w:proofErr w:type="spellStart"/>
      <w:r>
        <w:rPr>
          <w:rFonts w:ascii="Arial" w:hAnsi="Arial" w:cs="Arial"/>
          <w:color w:val="000000"/>
          <w:sz w:val="20"/>
          <w:szCs w:val="20"/>
        </w:rPr>
        <w:t>sobrecusto</w:t>
      </w:r>
      <w:proofErr w:type="spellEnd"/>
      <w:r>
        <w:rPr>
          <w:rFonts w:ascii="Arial" w:hAnsi="Arial" w:cs="Arial"/>
          <w:color w:val="000000"/>
          <w:sz w:val="20"/>
          <w:szCs w:val="20"/>
        </w:rPr>
        <w:t xml:space="preserve"> para o sistema.”</w:t>
      </w:r>
    </w:p>
    <w:p w:rsidR="005B3397" w:rsidRDefault="005B3397" w:rsidP="005B3397">
      <w:pPr>
        <w:spacing w:before="300" w:after="300"/>
        <w:ind w:firstLine="570"/>
        <w:jc w:val="both"/>
        <w:rPr>
          <w:color w:val="000000"/>
          <w:sz w:val="27"/>
          <w:szCs w:val="27"/>
        </w:rPr>
      </w:pPr>
      <w:r>
        <w:rPr>
          <w:rFonts w:ascii="Arial" w:hAnsi="Arial" w:cs="Arial"/>
          <w:b/>
          <w:bCs/>
          <w:color w:val="000000"/>
          <w:sz w:val="20"/>
          <w:szCs w:val="20"/>
        </w:rPr>
        <w:t>  </w:t>
      </w:r>
      <w:r>
        <w:rPr>
          <w:rFonts w:ascii="Arial" w:hAnsi="Arial" w:cs="Arial"/>
          <w:color w:val="000000"/>
          <w:sz w:val="20"/>
          <w:szCs w:val="20"/>
          <w:lang w:val="pt-PT"/>
        </w:rPr>
        <w:t>O Ministério da Fazenda juntamente com o de Minas e Energia e do Trabalho e Emprego, acrescentou veto ao dispositivo abaixo transcrito:</w:t>
      </w:r>
    </w:p>
    <w:p w:rsidR="005B3397" w:rsidRDefault="005B3397" w:rsidP="005B3397">
      <w:pPr>
        <w:spacing w:before="300" w:after="300"/>
        <w:ind w:firstLine="570"/>
        <w:jc w:val="both"/>
        <w:rPr>
          <w:color w:val="000000"/>
          <w:sz w:val="27"/>
          <w:szCs w:val="27"/>
        </w:rPr>
      </w:pPr>
      <w:r>
        <w:rPr>
          <w:rFonts w:ascii="Arial" w:hAnsi="Arial" w:cs="Arial"/>
          <w:color w:val="000000"/>
          <w:sz w:val="20"/>
          <w:szCs w:val="20"/>
          <w:lang w:val="pt-PT"/>
        </w:rPr>
        <w:t> </w:t>
      </w:r>
      <w:r>
        <w:rPr>
          <w:rFonts w:ascii="Arial" w:hAnsi="Arial" w:cs="Arial"/>
          <w:b/>
          <w:bCs/>
          <w:color w:val="000000"/>
          <w:sz w:val="20"/>
          <w:szCs w:val="20"/>
          <w:u w:val="single"/>
        </w:rPr>
        <w:t>Parágrafo único do art. 16 da Lei n</w:t>
      </w:r>
      <w:r>
        <w:rPr>
          <w:rFonts w:ascii="Arial" w:hAnsi="Arial" w:cs="Arial"/>
          <w:b/>
          <w:bCs/>
          <w:color w:val="000000"/>
          <w:sz w:val="20"/>
          <w:szCs w:val="20"/>
          <w:u w:val="single"/>
          <w:vertAlign w:val="superscript"/>
        </w:rPr>
        <w:t>o</w:t>
      </w:r>
      <w:r>
        <w:rPr>
          <w:rStyle w:val="apple-converted-space"/>
          <w:rFonts w:ascii="Arial" w:hAnsi="Arial" w:cs="Arial"/>
          <w:b/>
          <w:bCs/>
          <w:color w:val="000000"/>
          <w:sz w:val="20"/>
          <w:szCs w:val="20"/>
          <w:u w:val="single"/>
        </w:rPr>
        <w:t> </w:t>
      </w:r>
      <w:r>
        <w:rPr>
          <w:rFonts w:ascii="Arial" w:hAnsi="Arial" w:cs="Arial"/>
          <w:b/>
          <w:bCs/>
          <w:color w:val="000000"/>
          <w:sz w:val="20"/>
          <w:szCs w:val="20"/>
          <w:u w:val="single"/>
        </w:rPr>
        <w:t xml:space="preserve">12.783, de 11 de janeiro de 2013, acrescido pelo art. 12 do projeto de lei de </w:t>
      </w:r>
      <w:proofErr w:type="gramStart"/>
      <w:r>
        <w:rPr>
          <w:rFonts w:ascii="Arial" w:hAnsi="Arial" w:cs="Arial"/>
          <w:b/>
          <w:bCs/>
          <w:color w:val="000000"/>
          <w:sz w:val="20"/>
          <w:szCs w:val="20"/>
          <w:u w:val="single"/>
        </w:rPr>
        <w:t>conversão</w:t>
      </w:r>
      <w:proofErr w:type="gramEnd"/>
    </w:p>
    <w:p w:rsidR="005B3397" w:rsidRDefault="005B3397" w:rsidP="005B3397">
      <w:pPr>
        <w:spacing w:before="300" w:after="300"/>
        <w:ind w:firstLine="570"/>
        <w:jc w:val="both"/>
        <w:rPr>
          <w:color w:val="000000"/>
          <w:sz w:val="27"/>
          <w:szCs w:val="27"/>
        </w:rPr>
      </w:pPr>
      <w:r>
        <w:rPr>
          <w:rFonts w:ascii="Arial" w:hAnsi="Arial" w:cs="Arial"/>
          <w:b/>
          <w:bCs/>
          <w:color w:val="000000"/>
          <w:sz w:val="20"/>
          <w:szCs w:val="20"/>
          <w:lang w:val="pt-PT"/>
        </w:rPr>
        <w:t> </w:t>
      </w:r>
      <w:r>
        <w:rPr>
          <w:rFonts w:ascii="Arial" w:hAnsi="Arial" w:cs="Arial"/>
          <w:color w:val="000000"/>
          <w:sz w:val="20"/>
          <w:szCs w:val="20"/>
          <w:lang w:val="pt-PT"/>
        </w:rPr>
        <w:t>“</w:t>
      </w:r>
      <w:r>
        <w:rPr>
          <w:rFonts w:ascii="Arial" w:hAnsi="Arial" w:cs="Arial"/>
          <w:color w:val="000000"/>
          <w:sz w:val="20"/>
          <w:szCs w:val="20"/>
        </w:rPr>
        <w:t>Parágrafo único.  O regulamento a que se refere o</w:t>
      </w:r>
      <w:r>
        <w:rPr>
          <w:rStyle w:val="apple-converted-space"/>
          <w:rFonts w:ascii="Arial" w:hAnsi="Arial" w:cs="Arial"/>
          <w:color w:val="000000"/>
          <w:sz w:val="20"/>
          <w:szCs w:val="20"/>
        </w:rPr>
        <w:t> </w:t>
      </w:r>
      <w:r>
        <w:rPr>
          <w:rFonts w:ascii="Arial" w:hAnsi="Arial" w:cs="Arial"/>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 xml:space="preserve">elencará os padrões de saúde e segurança no trabalho e de respeito aos direitos e garantias dos consumidores a que estarão submetidas </w:t>
      </w:r>
      <w:proofErr w:type="gramStart"/>
      <w:r>
        <w:rPr>
          <w:rFonts w:ascii="Arial" w:hAnsi="Arial" w:cs="Arial"/>
          <w:color w:val="000000"/>
          <w:sz w:val="20"/>
          <w:szCs w:val="20"/>
        </w:rPr>
        <w:t>as</w:t>
      </w:r>
      <w:proofErr w:type="gramEnd"/>
      <w:r>
        <w:rPr>
          <w:rFonts w:ascii="Arial" w:hAnsi="Arial" w:cs="Arial"/>
          <w:color w:val="000000"/>
          <w:sz w:val="20"/>
          <w:szCs w:val="20"/>
        </w:rPr>
        <w:t xml:space="preserve"> concessionárias de geração, transmissão e distribuição, com base na legislação vigente. (NR)”</w:t>
      </w:r>
    </w:p>
    <w:p w:rsidR="005B3397" w:rsidRDefault="005B3397" w:rsidP="005B3397">
      <w:pPr>
        <w:spacing w:before="300" w:after="300"/>
        <w:ind w:firstLine="570"/>
        <w:rPr>
          <w:color w:val="000000"/>
          <w:sz w:val="27"/>
          <w:szCs w:val="27"/>
        </w:rPr>
      </w:pPr>
      <w:r>
        <w:rPr>
          <w:rFonts w:ascii="Arial" w:hAnsi="Arial" w:cs="Arial"/>
          <w:b/>
          <w:bCs/>
          <w:color w:val="000000"/>
          <w:sz w:val="20"/>
          <w:szCs w:val="20"/>
          <w:lang w:val="pt-PT"/>
        </w:rPr>
        <w:t> </w:t>
      </w:r>
      <w:r>
        <w:rPr>
          <w:rFonts w:ascii="Arial" w:hAnsi="Arial" w:cs="Arial"/>
          <w:b/>
          <w:bCs/>
          <w:color w:val="000000"/>
          <w:sz w:val="20"/>
          <w:szCs w:val="20"/>
          <w:u w:val="single"/>
        </w:rPr>
        <w:t>Razões do veto</w:t>
      </w:r>
    </w:p>
    <w:p w:rsidR="005B3397" w:rsidRDefault="005B3397" w:rsidP="005B3397">
      <w:pPr>
        <w:spacing w:before="300" w:after="300"/>
        <w:ind w:firstLine="570"/>
        <w:rPr>
          <w:color w:val="000000"/>
          <w:sz w:val="27"/>
          <w:szCs w:val="27"/>
        </w:rPr>
      </w:pPr>
      <w:r>
        <w:rPr>
          <w:rFonts w:ascii="Arial" w:hAnsi="Arial" w:cs="Arial"/>
          <w:b/>
          <w:bCs/>
          <w:color w:val="000000"/>
          <w:sz w:val="20"/>
          <w:szCs w:val="20"/>
        </w:rPr>
        <w:t> </w:t>
      </w:r>
      <w:r>
        <w:rPr>
          <w:rFonts w:ascii="Arial" w:hAnsi="Arial" w:cs="Arial"/>
          <w:color w:val="000000"/>
          <w:sz w:val="20"/>
          <w:szCs w:val="20"/>
        </w:rPr>
        <w:t xml:space="preserve">“Não obstante o mérito da proposta, estas matérias estão adequadamente disciplinadas nas </w:t>
      </w:r>
      <w:proofErr w:type="gramStart"/>
      <w:r>
        <w:rPr>
          <w:rFonts w:ascii="Arial" w:hAnsi="Arial" w:cs="Arial"/>
          <w:color w:val="000000"/>
          <w:sz w:val="20"/>
          <w:szCs w:val="20"/>
        </w:rPr>
        <w:t>legislações trabalhista, de defesa do consumidor e das concessões de serviço público</w:t>
      </w:r>
      <w:proofErr w:type="gramEnd"/>
      <w:r>
        <w:rPr>
          <w:rFonts w:ascii="Arial" w:hAnsi="Arial" w:cs="Arial"/>
          <w:color w:val="000000"/>
          <w:sz w:val="20"/>
          <w:szCs w:val="20"/>
        </w:rPr>
        <w:t>, motivo pelo qual dispositivo semelhante já foi vetado quando da conversão da Medida Provisória nº 579, de 11 de setembro de 2012.”</w:t>
      </w:r>
    </w:p>
    <w:p w:rsidR="005B3397" w:rsidRDefault="005B3397" w:rsidP="005B3397">
      <w:pPr>
        <w:spacing w:before="300" w:after="300"/>
        <w:ind w:firstLine="570"/>
        <w:jc w:val="both"/>
        <w:rPr>
          <w:color w:val="000000"/>
          <w:sz w:val="27"/>
          <w:szCs w:val="27"/>
        </w:rPr>
      </w:pPr>
      <w:r>
        <w:rPr>
          <w:rFonts w:ascii="Arial" w:hAnsi="Arial" w:cs="Arial"/>
          <w:color w:val="000000"/>
          <w:sz w:val="20"/>
          <w:szCs w:val="20"/>
          <w:lang w:val="pt-PT"/>
        </w:rPr>
        <w:t>  </w:t>
      </w:r>
      <w:r>
        <w:rPr>
          <w:rStyle w:val="Hyperlink"/>
          <w:rFonts w:ascii="Arial" w:hAnsi="Arial" w:cs="Arial"/>
          <w:color w:val="000000"/>
          <w:sz w:val="20"/>
          <w:szCs w:val="20"/>
        </w:rPr>
        <w:t>Os Ministérios de Minas e Energia, da Fazenda e a Advocacia Geral da União, opinaram ainda pelo veto ao seguinte dispositivo:</w:t>
      </w:r>
    </w:p>
    <w:p w:rsidR="005B3397" w:rsidRDefault="005B3397" w:rsidP="005B3397">
      <w:pPr>
        <w:spacing w:before="300" w:after="300"/>
        <w:ind w:firstLine="570"/>
        <w:rPr>
          <w:color w:val="000000"/>
          <w:sz w:val="27"/>
          <w:szCs w:val="27"/>
        </w:rPr>
      </w:pPr>
      <w:r>
        <w:rPr>
          <w:rFonts w:ascii="Arial" w:hAnsi="Arial" w:cs="Arial"/>
          <w:b/>
          <w:bCs/>
          <w:color w:val="000000"/>
          <w:sz w:val="20"/>
          <w:szCs w:val="20"/>
          <w:lang w:val="pt-PT"/>
        </w:rPr>
        <w:t> </w:t>
      </w:r>
      <w:r>
        <w:rPr>
          <w:rFonts w:ascii="Arial" w:hAnsi="Arial" w:cs="Arial"/>
          <w:b/>
          <w:bCs/>
          <w:color w:val="000000"/>
          <w:sz w:val="20"/>
          <w:szCs w:val="20"/>
          <w:u w:val="single"/>
          <w:lang w:val="pt-PT"/>
        </w:rPr>
        <w:t>Art. 26-A da</w:t>
      </w:r>
      <w:r>
        <w:rPr>
          <w:rStyle w:val="apple-converted-space"/>
          <w:rFonts w:ascii="Arial" w:hAnsi="Arial" w:cs="Arial"/>
          <w:b/>
          <w:bCs/>
          <w:color w:val="000000"/>
          <w:sz w:val="20"/>
          <w:szCs w:val="20"/>
          <w:u w:val="single"/>
          <w:lang w:val="pt-PT"/>
        </w:rPr>
        <w:t> </w:t>
      </w:r>
      <w:r>
        <w:rPr>
          <w:rFonts w:ascii="Arial" w:hAnsi="Arial" w:cs="Arial"/>
          <w:b/>
          <w:bCs/>
          <w:color w:val="000000"/>
          <w:sz w:val="20"/>
          <w:szCs w:val="20"/>
          <w:u w:val="single"/>
        </w:rPr>
        <w:t>Lei n</w:t>
      </w:r>
      <w:r>
        <w:rPr>
          <w:rFonts w:ascii="Arial" w:hAnsi="Arial" w:cs="Arial"/>
          <w:b/>
          <w:bCs/>
          <w:color w:val="000000"/>
          <w:sz w:val="20"/>
          <w:szCs w:val="20"/>
          <w:u w:val="single"/>
          <w:vertAlign w:val="superscript"/>
        </w:rPr>
        <w:t>o</w:t>
      </w:r>
      <w:r>
        <w:rPr>
          <w:rStyle w:val="apple-converted-space"/>
          <w:rFonts w:ascii="Arial" w:hAnsi="Arial" w:cs="Arial"/>
          <w:b/>
          <w:bCs/>
          <w:color w:val="000000"/>
          <w:sz w:val="20"/>
          <w:szCs w:val="20"/>
          <w:u w:val="single"/>
        </w:rPr>
        <w:t> </w:t>
      </w:r>
      <w:r>
        <w:rPr>
          <w:rFonts w:ascii="Arial" w:hAnsi="Arial" w:cs="Arial"/>
          <w:b/>
          <w:bCs/>
          <w:color w:val="000000"/>
          <w:sz w:val="20"/>
          <w:szCs w:val="20"/>
          <w:u w:val="single"/>
        </w:rPr>
        <w:t xml:space="preserve">12.783, de 11 de janeiro de 2013, acrescido pelo art. 12 do projeto de lei de </w:t>
      </w:r>
      <w:proofErr w:type="gramStart"/>
      <w:r>
        <w:rPr>
          <w:rFonts w:ascii="Arial" w:hAnsi="Arial" w:cs="Arial"/>
          <w:b/>
          <w:bCs/>
          <w:color w:val="000000"/>
          <w:sz w:val="20"/>
          <w:szCs w:val="20"/>
          <w:u w:val="single"/>
        </w:rPr>
        <w:t>conversão</w:t>
      </w:r>
      <w:proofErr w:type="gramEnd"/>
    </w:p>
    <w:p w:rsidR="005B3397" w:rsidRDefault="005B3397" w:rsidP="005B3397">
      <w:pPr>
        <w:pStyle w:val="texto1"/>
        <w:spacing w:before="300" w:beforeAutospacing="0" w:after="300" w:afterAutospacing="0"/>
        <w:ind w:firstLine="570"/>
        <w:rPr>
          <w:color w:val="000000"/>
          <w:sz w:val="27"/>
          <w:szCs w:val="27"/>
        </w:rPr>
      </w:pPr>
      <w:r>
        <w:rPr>
          <w:rFonts w:ascii="Arial" w:hAnsi="Arial" w:cs="Arial"/>
          <w:color w:val="000000"/>
          <w:sz w:val="20"/>
          <w:szCs w:val="20"/>
        </w:rPr>
        <w:t xml:space="preserve"> “Art. 26-A.  Para as concessões de geração de energia </w:t>
      </w:r>
      <w:proofErr w:type="gramStart"/>
      <w:r>
        <w:rPr>
          <w:rFonts w:ascii="Arial" w:hAnsi="Arial" w:cs="Arial"/>
          <w:color w:val="000000"/>
          <w:sz w:val="20"/>
          <w:szCs w:val="20"/>
        </w:rPr>
        <w:t>elétrica outorgadas</w:t>
      </w:r>
      <w:proofErr w:type="gramEnd"/>
      <w:r>
        <w:rPr>
          <w:rFonts w:ascii="Arial" w:hAnsi="Arial" w:cs="Arial"/>
          <w:color w:val="000000"/>
          <w:sz w:val="20"/>
          <w:szCs w:val="20"/>
        </w:rPr>
        <w:t xml:space="preserve"> antes da publicação do Decreto n</w:t>
      </w:r>
      <w:r>
        <w:rPr>
          <w:rFonts w:ascii="Arial" w:hAnsi="Arial" w:cs="Arial"/>
          <w:color w:val="000000"/>
          <w:sz w:val="20"/>
          <w:szCs w:val="20"/>
          <w:u w:val="single"/>
          <w:vertAlign w:val="superscript"/>
        </w:rPr>
        <w:t>o</w:t>
      </w:r>
      <w:r>
        <w:rPr>
          <w:rStyle w:val="apple-converted-space"/>
          <w:rFonts w:ascii="Arial" w:hAnsi="Arial" w:cs="Arial"/>
          <w:color w:val="000000"/>
          <w:sz w:val="20"/>
          <w:szCs w:val="20"/>
        </w:rPr>
        <w:t> </w:t>
      </w:r>
      <w:r>
        <w:rPr>
          <w:rFonts w:ascii="Arial" w:hAnsi="Arial" w:cs="Arial"/>
          <w:color w:val="000000"/>
          <w:sz w:val="20"/>
          <w:szCs w:val="20"/>
        </w:rPr>
        <w:t>5.163, de 30 de julho de 2004, o prazo de vigência do respectivo contrato de concessão será recomposto, mediante assinatura de termo aditivo, contando como novo termo inicial a data de emissão da licença ambiental prévia, desde que os atrasos na sua obtenção não tenham decorrido de atos praticados pelos concessionários.”</w:t>
      </w:r>
    </w:p>
    <w:p w:rsidR="005B3397" w:rsidRDefault="005B3397" w:rsidP="005B3397">
      <w:pPr>
        <w:spacing w:before="300" w:after="300"/>
        <w:ind w:firstLine="570"/>
        <w:jc w:val="both"/>
        <w:rPr>
          <w:color w:val="000000"/>
          <w:sz w:val="27"/>
          <w:szCs w:val="27"/>
        </w:rPr>
      </w:pPr>
      <w:r>
        <w:rPr>
          <w:rFonts w:ascii="Arial" w:hAnsi="Arial" w:cs="Arial"/>
          <w:b/>
          <w:bCs/>
          <w:color w:val="000000"/>
          <w:sz w:val="20"/>
          <w:szCs w:val="20"/>
        </w:rPr>
        <w:t> </w:t>
      </w:r>
      <w:r>
        <w:rPr>
          <w:rFonts w:ascii="Arial" w:hAnsi="Arial" w:cs="Arial"/>
          <w:b/>
          <w:bCs/>
          <w:color w:val="000000"/>
          <w:sz w:val="20"/>
          <w:szCs w:val="20"/>
          <w:u w:val="single"/>
        </w:rPr>
        <w:t>Razões do veto</w:t>
      </w:r>
    </w:p>
    <w:p w:rsidR="005B3397" w:rsidRDefault="005B3397" w:rsidP="005B3397">
      <w:pPr>
        <w:pStyle w:val="PargrafodaLista"/>
        <w:spacing w:before="300" w:beforeAutospacing="0" w:after="300" w:afterAutospacing="0"/>
        <w:ind w:firstLine="570"/>
        <w:jc w:val="both"/>
        <w:rPr>
          <w:color w:val="000000"/>
          <w:sz w:val="27"/>
          <w:szCs w:val="27"/>
        </w:rPr>
      </w:pPr>
      <w:r>
        <w:rPr>
          <w:rFonts w:ascii="Arial" w:hAnsi="Arial" w:cs="Arial"/>
          <w:color w:val="000000"/>
          <w:sz w:val="20"/>
          <w:szCs w:val="20"/>
        </w:rPr>
        <w:t xml:space="preserve"> “O dispositivo modifica a alocação do risco ambiental prevista nos editais e contratos de concessão de geração de energia elétrica anteriores ao Decreto n° 5.163, de 2004, que já havia sido considerada pelos empreendedores no momento de decisão sobre sua participação </w:t>
      </w:r>
      <w:r>
        <w:rPr>
          <w:rFonts w:ascii="Arial" w:hAnsi="Arial" w:cs="Arial"/>
          <w:color w:val="000000"/>
          <w:sz w:val="20"/>
          <w:szCs w:val="20"/>
        </w:rPr>
        <w:lastRenderedPageBreak/>
        <w:t xml:space="preserve">no processo. Dessa forma, provoca um desequilíbrio indevido nas relações entre </w:t>
      </w:r>
      <w:proofErr w:type="gramStart"/>
      <w:r>
        <w:rPr>
          <w:rFonts w:ascii="Arial" w:hAnsi="Arial" w:cs="Arial"/>
          <w:color w:val="000000"/>
          <w:sz w:val="20"/>
          <w:szCs w:val="20"/>
        </w:rPr>
        <w:t>o Poder Concedente</w:t>
      </w:r>
      <w:proofErr w:type="gramEnd"/>
      <w:r>
        <w:rPr>
          <w:rFonts w:ascii="Arial" w:hAnsi="Arial" w:cs="Arial"/>
          <w:color w:val="000000"/>
          <w:sz w:val="20"/>
          <w:szCs w:val="20"/>
        </w:rPr>
        <w:t xml:space="preserve"> e os concessionários.”</w:t>
      </w:r>
    </w:p>
    <w:p w:rsidR="005B3397" w:rsidRDefault="005B3397" w:rsidP="005B3397">
      <w:pPr>
        <w:spacing w:before="300" w:after="300"/>
        <w:ind w:firstLine="570"/>
        <w:rPr>
          <w:color w:val="000000"/>
          <w:sz w:val="27"/>
          <w:szCs w:val="27"/>
        </w:rPr>
      </w:pPr>
      <w:r>
        <w:rPr>
          <w:rFonts w:ascii="Arial" w:hAnsi="Arial" w:cs="Arial"/>
          <w:color w:val="000000"/>
          <w:sz w:val="20"/>
          <w:szCs w:val="20"/>
        </w:rPr>
        <w:t> </w:t>
      </w:r>
      <w:proofErr w:type="gramStart"/>
      <w:r>
        <w:rPr>
          <w:rFonts w:ascii="Arial" w:hAnsi="Arial" w:cs="Arial"/>
          <w:color w:val="000000"/>
          <w:sz w:val="20"/>
          <w:szCs w:val="20"/>
        </w:rPr>
        <w:t>Essas, Senhor</w:t>
      </w:r>
      <w:proofErr w:type="gramEnd"/>
      <w:r>
        <w:rPr>
          <w:rFonts w:ascii="Arial" w:hAnsi="Arial" w:cs="Arial"/>
          <w:color w:val="000000"/>
          <w:sz w:val="20"/>
          <w:szCs w:val="20"/>
        </w:rPr>
        <w:t xml:space="preserve"> Presidente, as razões que me levaram a vetar os dispositivos acima mencionados do projeto em causa, as quais ora submeto à elevada apreciação dos Senhores Membros do Congresso Nacional.</w:t>
      </w:r>
    </w:p>
    <w:p w:rsidR="005B3397" w:rsidRDefault="005B3397" w:rsidP="005B3397">
      <w:pPr>
        <w:spacing w:before="100" w:beforeAutospacing="1" w:after="100" w:afterAutospacing="1"/>
        <w:jc w:val="both"/>
        <w:rPr>
          <w:color w:val="000000"/>
          <w:sz w:val="27"/>
          <w:szCs w:val="27"/>
        </w:rPr>
      </w:pPr>
      <w:r>
        <w:rPr>
          <w:rFonts w:ascii="Arial" w:hAnsi="Arial" w:cs="Arial"/>
          <w:color w:val="FF0000"/>
          <w:sz w:val="20"/>
          <w:szCs w:val="20"/>
        </w:rPr>
        <w:t>Este texto não substitui o publicado no DOU de 10.7.2013</w:t>
      </w:r>
    </w:p>
    <w:p w:rsidR="006B0A0C" w:rsidRDefault="006B0A0C">
      <w:bookmarkStart w:id="0" w:name="_GoBack"/>
      <w:bookmarkEnd w:id="0"/>
    </w:p>
    <w:sectPr w:rsidR="006B0A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97"/>
    <w:rsid w:val="005B3397"/>
    <w:rsid w:val="006B0A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97"/>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B3397"/>
    <w:rPr>
      <w:color w:val="0000FF"/>
      <w:u w:val="single"/>
    </w:rPr>
  </w:style>
  <w:style w:type="paragraph" w:styleId="NormalWeb">
    <w:name w:val="Normal (Web)"/>
    <w:basedOn w:val="Normal"/>
    <w:uiPriority w:val="99"/>
    <w:unhideWhenUsed/>
    <w:rsid w:val="005B3397"/>
    <w:pPr>
      <w:spacing w:before="100" w:beforeAutospacing="1" w:after="100" w:afterAutospacing="1"/>
    </w:pPr>
    <w:rPr>
      <w:rFonts w:ascii="Times New Roman" w:hAnsi="Times New Roman"/>
      <w:sz w:val="24"/>
      <w:szCs w:val="24"/>
      <w:lang w:eastAsia="pt-BR"/>
    </w:rPr>
  </w:style>
  <w:style w:type="paragraph" w:styleId="PargrafodaLista">
    <w:name w:val="List Paragraph"/>
    <w:basedOn w:val="Normal"/>
    <w:uiPriority w:val="34"/>
    <w:qFormat/>
    <w:rsid w:val="005B3397"/>
    <w:pPr>
      <w:spacing w:before="100" w:beforeAutospacing="1" w:after="100" w:afterAutospacing="1"/>
    </w:pPr>
    <w:rPr>
      <w:rFonts w:ascii="Times New Roman" w:hAnsi="Times New Roman"/>
      <w:sz w:val="24"/>
      <w:szCs w:val="24"/>
      <w:lang w:eastAsia="pt-BR"/>
    </w:rPr>
  </w:style>
  <w:style w:type="paragraph" w:customStyle="1" w:styleId="texto1">
    <w:name w:val="texto1"/>
    <w:basedOn w:val="Normal"/>
    <w:uiPriority w:val="99"/>
    <w:rsid w:val="005B3397"/>
    <w:pPr>
      <w:spacing w:before="100" w:beforeAutospacing="1" w:after="100" w:afterAutospacing="1"/>
    </w:pPr>
    <w:rPr>
      <w:rFonts w:ascii="Times New Roman" w:hAnsi="Times New Roman"/>
      <w:sz w:val="24"/>
      <w:szCs w:val="24"/>
      <w:lang w:eastAsia="pt-BR"/>
    </w:rPr>
  </w:style>
  <w:style w:type="character" w:customStyle="1" w:styleId="apple-converted-space">
    <w:name w:val="apple-converted-space"/>
    <w:basedOn w:val="Fontepargpadro"/>
    <w:rsid w:val="005B3397"/>
  </w:style>
  <w:style w:type="character" w:styleId="Forte">
    <w:name w:val="Strong"/>
    <w:basedOn w:val="Fontepargpadro"/>
    <w:uiPriority w:val="22"/>
    <w:qFormat/>
    <w:rsid w:val="005B33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97"/>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B3397"/>
    <w:rPr>
      <w:color w:val="0000FF"/>
      <w:u w:val="single"/>
    </w:rPr>
  </w:style>
  <w:style w:type="paragraph" w:styleId="NormalWeb">
    <w:name w:val="Normal (Web)"/>
    <w:basedOn w:val="Normal"/>
    <w:uiPriority w:val="99"/>
    <w:unhideWhenUsed/>
    <w:rsid w:val="005B3397"/>
    <w:pPr>
      <w:spacing w:before="100" w:beforeAutospacing="1" w:after="100" w:afterAutospacing="1"/>
    </w:pPr>
    <w:rPr>
      <w:rFonts w:ascii="Times New Roman" w:hAnsi="Times New Roman"/>
      <w:sz w:val="24"/>
      <w:szCs w:val="24"/>
      <w:lang w:eastAsia="pt-BR"/>
    </w:rPr>
  </w:style>
  <w:style w:type="paragraph" w:styleId="PargrafodaLista">
    <w:name w:val="List Paragraph"/>
    <w:basedOn w:val="Normal"/>
    <w:uiPriority w:val="34"/>
    <w:qFormat/>
    <w:rsid w:val="005B3397"/>
    <w:pPr>
      <w:spacing w:before="100" w:beforeAutospacing="1" w:after="100" w:afterAutospacing="1"/>
    </w:pPr>
    <w:rPr>
      <w:rFonts w:ascii="Times New Roman" w:hAnsi="Times New Roman"/>
      <w:sz w:val="24"/>
      <w:szCs w:val="24"/>
      <w:lang w:eastAsia="pt-BR"/>
    </w:rPr>
  </w:style>
  <w:style w:type="paragraph" w:customStyle="1" w:styleId="texto1">
    <w:name w:val="texto1"/>
    <w:basedOn w:val="Normal"/>
    <w:uiPriority w:val="99"/>
    <w:rsid w:val="005B3397"/>
    <w:pPr>
      <w:spacing w:before="100" w:beforeAutospacing="1" w:after="100" w:afterAutospacing="1"/>
    </w:pPr>
    <w:rPr>
      <w:rFonts w:ascii="Times New Roman" w:hAnsi="Times New Roman"/>
      <w:sz w:val="24"/>
      <w:szCs w:val="24"/>
      <w:lang w:eastAsia="pt-BR"/>
    </w:rPr>
  </w:style>
  <w:style w:type="character" w:customStyle="1" w:styleId="apple-converted-space">
    <w:name w:val="apple-converted-space"/>
    <w:basedOn w:val="Fontepargpadro"/>
    <w:rsid w:val="005B3397"/>
  </w:style>
  <w:style w:type="character" w:styleId="Forte">
    <w:name w:val="Strong"/>
    <w:basedOn w:val="Fontepargpadro"/>
    <w:uiPriority w:val="22"/>
    <w:qFormat/>
    <w:rsid w:val="005B3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88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1813</Words>
  <Characters>9791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Massae Suzukawa</dc:creator>
  <cp:lastModifiedBy>Lucia Massae Suzukawa</cp:lastModifiedBy>
  <cp:revision>1</cp:revision>
  <dcterms:created xsi:type="dcterms:W3CDTF">2013-07-10T17:33:00Z</dcterms:created>
  <dcterms:modified xsi:type="dcterms:W3CDTF">2013-07-10T17:34:00Z</dcterms:modified>
</cp:coreProperties>
</file>